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89R16996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 A. Davis of Dallas</w:t>
      </w: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prospective student athletes and student athletes participating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51.9246, Education Code, is amended by amending Subsections (c) and (g) and adding Subsections (c-2) and (c-3) to read as follows:</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or solicit a prospective student athlete of an intercollegiate athletic program at the institution with compensation in relation to the prospective student athlete's name, image, or likeness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u w:val="single"/>
        </w:rPr>
        <w:t xml:space="preserve"> </w:t>
      </w:r>
      <w:r>
        <w:rPr>
          <w:u w:val="single"/>
        </w:rPr>
        <w:t xml:space="preserve">Subject to Subsection (c-3), an institution to which this section applies, a prospective student athlete, a student athlete participating in an intercollegiate athletic program at an institution to which this section applies, or any other individual or entity may perform, allow the performance of, or participate in an action authorized or required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group or organization with authority over an intercollegiate athletic program at an institution to which this section applies, including an athletic association or an athletic conference;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court order applicable to a group or organization described by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w:t>
      </w:r>
      <w:r>
        <w:rPr>
          <w:strike/>
        </w:rPr>
        <w:t xml:space="preserve">or accepting an offer of admission to attend the institution;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by the institution;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in exchange for an act that occurs while the athlete is engaged in an official team activity</w:t>
      </w:r>
      <w:r>
        <w:t xml:space="preserve">]; or</w:t>
      </w:r>
    </w:p>
    <w:p w:rsidR="003F3435" w:rsidRDefault="0032493E">
      <w:pPr>
        <w:spacing w:line="480" w:lineRule="auto"/>
        <w:ind w:firstLine="2880"/>
        <w:jc w:val="both"/>
      </w:pPr>
      <w:r>
        <w:rPr>
          <w:u w:val="single"/>
        </w:rPr>
        <w:t xml:space="preserve">(ii)</w:t>
      </w:r>
      <w:r xml:space="preserve">
        <w:t> </w:t>
      </w:r>
      <w:r>
        <w:t xml:space="preserve">[</w:t>
      </w:r>
      <w:r>
        <w:rPr>
          <w:strike/>
        </w:rPr>
        <w:t xml:space="preserve">(iv)</w:t>
      </w:r>
      <w:r>
        <w:t xml:space="preserve">]</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51.9246(g-1) and (j),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