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the cooperative or utility owns in the cooperative's or utility's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 for ensuring public safety through the effective management, inspection, maintenance, and repair of distribution poles;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processes for training and certifying personnel, including third-party vendors, who inspect distribution poles;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estimated timeline for completing inspections and remedial action required for any pole identified as unreliable, unsafe, or needing repair;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processes for documenting and responding to a report or complaint made by a landowner regarding the condition or repair of a distribution pole;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plan submitted by an electric utility, the estimated cost of implementing the plan;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cooperative's or utility's methods to monitor compliance with the plan.</w:t>
      </w:r>
    </w:p>
    <w:p w:rsidR="003F3435" w:rsidRDefault="0032493E">
      <w:pPr>
        <w:spacing w:line="480" w:lineRule="auto"/>
        <w:ind w:firstLine="720"/>
        <w:jc w:val="both"/>
      </w:pPr>
      <w:r>
        <w:rPr>
          <w:u w:val="single"/>
        </w:rPr>
        <w:t xml:space="preserve">(c</w:t>
      </w:r>
      <w:r>
        <w:rPr>
          <w:u w:val="single"/>
        </w:rPr>
        <w:t xml:space="preserve">)</w:t>
      </w:r>
      <w:r>
        <w:rPr>
          <w:u w:val="single"/>
        </w:rPr>
        <w:t xml:space="preserve"> </w:t>
      </w:r>
      <w:r>
        <w:rPr>
          <w:u w:val="single"/>
        </w:rPr>
        <w:t xml:space="preserve"> </w:t>
      </w:r>
      <w:r>
        <w:rPr>
          <w:u w:val="single"/>
        </w:rPr>
        <w:t xml:space="preserve">Not later than May 1 of each year, an entity to which this section applies shall submit an update to the commission detailing the entity's compliance with the plan's objectives, the costs of implementing the plan to date, and the results of the entity's inspection of distribution poles, including the number of poles inspected and any remediation or replacement action taken.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review each plan and update submitted under this section to determine whether the entity that submitted the plan or update is in compliance with the plan's objectives described by Subsection (b)(1) and notify the entity whether or not the entity is in compliance with those objectives.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accept in place of the information required under this section any information required under other law that is substantially similar to the information required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entity to which Section 38.103, Utilities Code, as added by this Act, applies shall submit the plan required by that section to the Public Utility Commission of Texas. </w:t>
      </w:r>
      <w:r>
        <w:t xml:space="preserve"> </w:t>
      </w:r>
      <w:r>
        <w:t xml:space="preserve">The Public Utility Commission of Texas may establish different plan submission dates for each class of entity to which Section 38.103, Utilities Code, as added by this Act, applies.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144 was passed by the House on April 29, 2025, by the following vote:</w:t>
      </w:r>
      <w:r xml:space="preserve">
        <w:t> </w:t>
      </w:r>
      <w:r xml:space="preserve">
        <w:t> </w:t>
      </w:r>
      <w:r>
        <w:t xml:space="preserve">Yeas 125, Nays 21, 1 present, not voting; and that the House concurred in Senate amendments to H.B. No. 144 on May 29, 2025, by the following vote:</w:t>
      </w:r>
      <w:r xml:space="preserve">
        <w:t> </w:t>
      </w:r>
      <w:r xml:space="preserve">
        <w:t> </w:t>
      </w:r>
      <w:r>
        <w:t xml:space="preserve">Yeas 110, Nays 18,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144 was passed by the Senate, with amendments, on May 26,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