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89R19444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144:</w:t>
      </w:r>
    </w:p>
    <w:p w:rsidR="003F3435" w:rsidRDefault="0032493E">
      <w:pPr>
        <w:spacing w:line="480" w:lineRule="auto"/>
        <w:jc w:val="both"/>
        <w:tabs>
          <w:tab w:val="right" w:leader="none" w:pos="9350"/>
        </w:tabs>
      </w:pPr>
      <w:r>
        <w:t xml:space="preserve">By:</w:t>
      </w:r>
      <w:r xml:space="preserve">
        <w:t> </w:t>
      </w:r>
      <w:r xml:space="preserve">
        <w:t> </w:t>
      </w:r>
      <w:r>
        <w:t xml:space="preserve">McQueeney</w:t>
      </w:r>
      <w:r xml:space="preserve">
        <w:tab wTab="150" tlc="none" cTlc="0"/>
      </w:r>
      <w:r>
        <w:t xml:space="preserve">C.S.H.B.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transmission and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TRANSMISSION AND 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transmission and distribution poles in the entity's transmission and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responsibilities, and accountability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repair, and inspection of transmission and distribution poles on the entity's transmission and distribution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and repair transmission and distribution poles;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of and response to a report or complaint made by a landowner regarding the condition or repair of transmission or distribution poles;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transmission and distribution pole to be inspected: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deadline by which the inspection will be completed;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process by which inspection records will be submitted;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timeline for any remedial action required for a pole identified as unreliable, unsafe, or needing repair;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at least once every three years, an entity to which this section applies shall submit an update to the commission detailing the entity's compliance with the plan's objectives, the costs of implementing the plan, and the entity's inspection results and repair schedule.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once each month, an entity to which this section applies shall submit an update to the commission of the information described by Subsection (b)(4).  An update must include for each transmission and distribution pole inspected an indication of whether the pole passed inspection and was determined to be safe, reliable, and able to withstand extreme weather conditions, including high winds.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each entity to which Section 38.103, Utilities Code, as added by this Act, applies shall submit the plan required by that section to the Public Utility Commission of Texas.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