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144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2025; May</w:t>
      </w:r>
      <w:r xml:space="preserve">
        <w:t> </w:t>
      </w:r>
      <w:r>
        <w:t xml:space="preserve">12,</w:t>
      </w:r>
      <w:r xml:space="preserve">
        <w:t> </w:t>
      </w:r>
      <w:r>
        <w:t xml:space="preserve">2025, read first time and referred to Committee on Business &amp; Commerce; May</w:t>
      </w:r>
      <w:r xml:space="preserve">
        <w:t> </w:t>
      </w:r>
      <w:r>
        <w:t xml:space="preserve">23,</w:t>
      </w:r>
      <w:r xml:space="preserve">
        <w:t> </w:t>
      </w:r>
      <w:r>
        <w:t xml:space="preserve">2025, reported favorably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in the entity's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and inspection of distribution poles on the entity's distribution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distribution poles;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of and response to a report or complaint made by a landowner regarding the condition or repair of distribution poles;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distribution pole to be inspected: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deadline by which the inspection will be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process by which inspection records will be submitted;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timeline for any remedial action required for a pole identified as unreliable, unsafe, or needing repair;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at least once every three years, an entity to which this section applies shall submit an update to the commission detailing the entity's compliance with the plan's objectives and the costs of implementing the plan.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once each month, an entity to which this section applies shall submit an update to the commission in a form prescribed by the commission of the information described by Subsection (b)(4).  After an entity to which this section applies submits at least 24 monthly updates in compliance with this section, on application by the entity, the commission may allow the entity to instead file an annual update not later than May 1 of each year.  An update must include for each distribution pole inspected an indication of whether the pole passed inspection and was determined to be safe, reliable, and able to withstand extreme weather conditions, including high winds.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expand the commission's jurisdiction over an electric cooperative beyond the jurisdiction granted under Section 41.004(5)(A).  A plan or update filed under this section is considered a report to ensure public safety for the purposes of Section 41.004.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entity to which Section 38.103, Utilities Code, as added by this Act, applies shall submit the plan required by that section to the Public Utility Commission of Texas. </w:t>
      </w:r>
      <w:r>
        <w:t xml:space="preserve"> </w:t>
      </w:r>
      <w:r>
        <w:t xml:space="preserve">The Public Utility Commission of Texas may establish different plan submission dates for each class of entity to which Section 38.103, Utilities Code, as added by this Act, applies.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