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risk mitigation planning and associated liability for providers of electric service;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36.064, Utilities Code, is amended by amending Subsections (a) and (b) and adding Subsections (c-1) and (h) to read as follows:</w:t>
      </w:r>
    </w:p>
    <w:p w:rsidR="003F3435" w:rsidRDefault="0032493E">
      <w:pPr>
        <w:spacing w:line="480" w:lineRule="auto"/>
        <w:ind w:firstLine="720"/>
        <w:jc w:val="both"/>
      </w:pPr>
      <w:r>
        <w:t xml:space="preserve">(a)</w:t>
      </w:r>
      <w:r xml:space="preserve">
        <w:t> </w:t>
      </w:r>
      <w:r xml:space="preserve">
        <w:t> </w:t>
      </w:r>
      <w:r>
        <w:t xml:space="preserve">An electric utility may self-insure all or part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utility's potential liability or catastrophic property loss, including windstorm, fire, </w:t>
      </w:r>
      <w:r>
        <w:rPr>
          <w:u w:val="single"/>
        </w:rPr>
        <w:t xml:space="preserve">wildfire,</w:t>
      </w:r>
      <w:r>
        <w:t xml:space="preserve"> </w:t>
      </w:r>
      <w:r>
        <w:t xml:space="preserve">and explosion losses, that could not have been reasonably anticipated and included under operating and maintenance expenses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 damages the utility may be liable for resulting from personal injury or property damage caused by a wildfire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w:t>
      </w:r>
      <w:r>
        <w:rPr>
          <w:strike/>
        </w:rPr>
        <w:t xml:space="preserve">that</w:t>
      </w:r>
      <w:r>
        <w:t xml:space="preserve">]:</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rPr>
          <w:u w:val="single"/>
        </w:rPr>
        <w:t xml:space="preserve">one of the following:</w:t>
      </w:r>
    </w:p>
    <w:p w:rsidR="003F3435" w:rsidRDefault="0032493E">
      <w:pPr>
        <w:spacing w:line="480" w:lineRule="auto"/>
        <w:ind w:firstLine="2160"/>
        <w:jc w:val="both"/>
      </w:pPr>
      <w:r>
        <w:rPr>
          <w:u w:val="single"/>
        </w:rPr>
        <w:t xml:space="preserve">(A)</w:t>
      </w:r>
      <w:r xml:space="preserve">
        <w:t> </w:t>
      </w:r>
      <w:r xml:space="preserve">
        <w:t> </w:t>
      </w:r>
      <w:r>
        <w:t xml:space="preserve">the plan, considering all costs, is a lower cost alternative to purchasing commercial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insurance alone is insufficient to cover potential liability, damages, or catastrophic property loss;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electric utility cannot obtain commercial insurance for a reasonable premium;</w:t>
      </w:r>
      <w:r>
        <w:t xml:space="preserv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approving a self-insurance plan under this section, the commission shall prioritize the consideration of the presence and potential extent of wildfire losses,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studies and analyses;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 of the electric utility's exposure to losses from multiple types of disasters occurring within the utility's service territory.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(a)(2) does not authorize an electric utility to self-insure under this section for damages from a wildfire event the utility caused intentionally, recklessly, or with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Sections 38.080 and 38.081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38.080.</w:t>
      </w:r>
      <w:r>
        <w:rPr>
          <w:u w:val="single"/>
        </w:rPr>
        <w:t xml:space="preserve"> </w:t>
      </w:r>
      <w:r>
        <w:rPr>
          <w:u w:val="single"/>
        </w:rPr>
        <w:t xml:space="preserve"> </w:t>
      </w:r>
      <w:r>
        <w:rPr>
          <w:u w:val="single"/>
        </w:rPr>
        <w:t xml:space="preserve">WILDFIRE MITIGATION PLAN.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418.251,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 means a wildfire mitigation plan described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"Wildfire risk area" means an area determined by the division or an electric utility, municipally owned utility, or electric cooperative to be at an elevated risk for wildfire.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municipally owned utility, or electric cooperative that owns a transmission or distribution facility in a wildfire risk area shall file with the commission a wildfire mitigation plan that includes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plan for vegetation management in the wildfire risk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operations plan for reducing the likelihood of wildfire ignition from the utility's or cooperative's facilities and for responding to a wildfire;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utility's or cooperative's community outreach and public awareness plan regarding wildfire risks and actual wildfires affecting the utility's or cooperative's service territory or system, including a specific communications plan for responding to a wildfire event;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infrastructure report, maintenance report, or transmission or distribution pole maintenance plan required by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analysis of the wildfire mitigation plan prepared by an independent expert in fire risk mitigation;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description of procedures for de-energizing power lines and disabling reclosers to mitigate potential wildfires or implement a public safety power shut-off plan;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description of the procedures and standards that the utility or cooperative will use to inspect and operate the utility's or cooperative's infrastructure to mitigate the risk of wildfires;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description of how the utility or cooperative will monitor compliance with the wildfire mitigation plan;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other information the commission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issue an order not later than the 180th day after a plan is filed with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approves the plan if the commission finds that approval is in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modifies or rejects the plan as necessary to be consistent with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electric utility, municipally owned utility, or electric cooperative that does not implement a plan approved under this section is subject to an administrative penalty as provided by Chapter 15.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accept in place of the information required under Subsection (b) any information required under other law that is substantially similar to the information required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38.081.</w:t>
      </w:r>
      <w:r>
        <w:rPr>
          <w:u w:val="single"/>
        </w:rPr>
        <w:t xml:space="preserve"> </w:t>
      </w:r>
      <w:r>
        <w:rPr>
          <w:u w:val="single"/>
        </w:rPr>
        <w:t xml:space="preserve"> </w:t>
      </w:r>
      <w:r>
        <w:rPr>
          <w:u w:val="single"/>
        </w:rPr>
        <w:t xml:space="preserve">EVIDENCE IN ACTIONS FOR DAMAGES CAUSED BY WILDFIRE.  (a) </w:t>
      </w:r>
      <w:r>
        <w:rPr>
          <w:u w:val="single"/>
        </w:rPr>
        <w:t xml:space="preserve"> </w:t>
      </w:r>
      <w:r>
        <w:rPr>
          <w:u w:val="single"/>
        </w:rPr>
        <w:t xml:space="preserve">An electric utility, municipally owned utility, or electric cooperative that submits and obtains commission approval for a wildfire mitigation plan under Section 38.080 may use the plan as evidence in an action brought against the utility or cooperative for damages resulting from a wildfire ignited or propagated by the utility's or cooperative's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any applicable tariff provision, in an action for damages resulting from a wildfire ignited or propagated by an electric utility's, municipally owned utility's, or electric cooperative's facility, the utility or cooperative is not liable for damages resulting from the wildfire if the trier of fact in the action finds that the utility or cooperative: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submitted, obtained commission approval for, and implemented a wildfire mitigation plan under Section 38.080;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in compliance with relevant measures of the utility's or cooperative's wildfire mitigation plan with respect to the specific equipment found to have ignited or propagated the wildfire;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did not cause the wildfire intentionally, recklessly, or with negligence.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(a) and (b) do not apply to an electric utility, municipally owned utility, or electric cooperative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file a wildfire mitigation plan under Section 38.080;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plan that is rejected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this section does not affect an express contractual right of a person or entity involving a communications facility or the shared use of an electric facility or pole attachment.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Public Utility Commission of Texas shall adopt any rules necessary to implement Section 36.064, Utilities Code, as amended by this Act, and Section 38.080, Utilities Code, as added by this Act, not later than the 180th day after the effective date of this Act.</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shall file a wildfire mitigation plan, as authorized by Section 38.080, Utilities Code, as added by this Act, as soon as practicable after the date the Public Utility Commission of Texas adopts rules described by Subsection (a)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38.081, Utilities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145 was passed by the House on April 25, 2025, by the following vote:</w:t>
      </w:r>
      <w:r xml:space="preserve">
        <w:t> </w:t>
      </w:r>
      <w:r xml:space="preserve">
        <w:t> </w:t>
      </w:r>
      <w:r>
        <w:t xml:space="preserve">Yeas 131, Nays 8, 1 present, not voting; that the House refused to concur in Senate amendments to H.B. No. 145 on May 28, 2025, and requested the appointment of a conference committee to consider the differences between the two houses; and that the House adopted the conference committee report on H.B. No. 145 on May 31, 2025, by the following vote:</w:t>
      </w:r>
      <w:r xml:space="preserve">
        <w:t> </w:t>
      </w:r>
      <w:r xml:space="preserve">
        <w:t> </w:t>
      </w:r>
      <w:r>
        <w:t xml:space="preserve">Yeas 103, Nays 21,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145 was passed by the Senate, with amendments, on May 26,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145 on June 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