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89R21457 ANG-D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Craddick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206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 limitation on a county's authority to require a cash bond before approving the construction of a pipeline.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Z, Chapter 240, Local Government Code, is amended by adding Section 240.911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240.911.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BOND FOR PIPELINE CONSTRUCTION. </w:t>
      </w:r>
      <w:r>
        <w:rPr>
          <w:u w:val="single"/>
        </w:rPr>
        <w:t xml:space="preserve"> </w:t>
      </w:r>
      <w:r>
        <w:rPr>
          <w:u w:val="single"/>
        </w:rPr>
        <w:t xml:space="preserve">A county may not require a cash bond as a condition of approval for the construction of a pipeline in the county's boundaries.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240.911, Local Government Code, as added by this Act, applies only to an application for approval to construct a pipeline filed with a county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206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