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89R1457 ANG-D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Craddick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206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limitations on a county's authority to require a cash bond before approving the construction of a pipeline.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Z, Chapter 240, Local Government Code, is amended by adding Section 240.911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240.911.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BOND FOR PIPELINE CONSTRUCTION.  (a)  A county may not require a cash bond as a condition of approval for the construction of a pipeline in the county's boundaries unless the county grants the person proposing the construction of the pipeline the right to approve or deny the use of the bond proceeds.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If a person denies the use of the bond proceeds under Subsection (a), the person is entitled to a full refund of the cash bond.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Section 240.911, Local Government Code, as added by this Act, applies only to an application for approval to construct a pipeline filed with a county on or after the effective date of this Act.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206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