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Craddick</w:t>
      </w:r>
      <w:r>
        <w:t xml:space="preserve"> (Senate Sponsor</w:t>
      </w:r>
      <w:r xml:space="preserve">
        <w:t> </w:t>
      </w:r>
      <w:r>
        <w:t xml:space="preserve">-</w:t>
      </w:r>
      <w:r xml:space="preserve">
        <w:t> </w:t>
      </w:r>
      <w:r>
        <w:t xml:space="preserve">Birdwell)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206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Received from the House April</w:t>
      </w:r>
      <w:r xml:space="preserve">
        <w:t> </w:t>
      </w:r>
      <w:r>
        <w:t xml:space="preserve">23,</w:t>
      </w:r>
      <w:r xml:space="preserve">
        <w:t> </w:t>
      </w:r>
      <w:r>
        <w:t xml:space="preserve">2025; April</w:t>
      </w:r>
      <w:r xml:space="preserve">
        <w:t> </w:t>
      </w:r>
      <w:r>
        <w:t xml:space="preserve">24,</w:t>
      </w:r>
      <w:r xml:space="preserve">
        <w:t> </w:t>
      </w:r>
      <w:r>
        <w:t xml:space="preserve">2025, read first time and referred to Committee on Natural Resources; May</w:t>
      </w:r>
      <w:r xml:space="preserve">
        <w:t> </w:t>
      </w:r>
      <w:r>
        <w:t xml:space="preserve">8,</w:t>
      </w:r>
      <w:r xml:space="preserve">
        <w:t> </w:t>
      </w:r>
      <w:r>
        <w:t xml:space="preserve">2025, reported favorably by the following vote:</w:t>
      </w:r>
      <w:r>
        <w:t xml:space="preserve"> </w:t>
      </w:r>
      <w:r>
        <w:t xml:space="preserve"> </w:t>
      </w:r>
      <w:r>
        <w:t xml:space="preserve">Yeas 9, Nays 0; May</w:t>
      </w:r>
      <w:r xml:space="preserve">
        <w:t> </w:t>
      </w:r>
      <w:r>
        <w:t xml:space="preserve">8,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Birdwell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Zaffirini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Alvarado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Blanco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Flores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Hancock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Hughes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Sparks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a limitation on a county's authority to require a cash bond before approving the construction of a pipeline.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240, Local Government Code, is amended by adding Section 240.911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240.911.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BOND FOR PIPELINE CONSTRUCTION. </w:t>
      </w:r>
      <w:r>
        <w:rPr>
          <w:u w:val="single"/>
        </w:rPr>
        <w:t xml:space="preserve"> </w:t>
      </w:r>
      <w:r>
        <w:rPr>
          <w:u w:val="single"/>
        </w:rPr>
        <w:t xml:space="preserve">A county may not require a cash bond as a condition of approval for the construction of a pipeline in the county's boundaries.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240.911, Local Government Code, as added by this Act, applies only to an application for approval to construct a pipeline filed with a county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206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