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247</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of the amount of the appraised value of real property located in certain counties that arises from the installation or construction on the property of border security infrastructure and related improvements and to the consideration of the price paid by certain governmental entities for a parcel of or easement in real property purchased for the purpose of installing or constructing such infrastructure when appraising other real property.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11.38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11.38.</w:t>
      </w:r>
      <w:r>
        <w:rPr>
          <w:u w:val="single"/>
        </w:rPr>
        <w:t xml:space="preserve"> </w:t>
      </w:r>
      <w:r>
        <w:rPr>
          <w:u w:val="single"/>
        </w:rPr>
        <w:t xml:space="preserve"> </w:t>
      </w:r>
      <w:r>
        <w:rPr>
          <w:u w:val="single"/>
        </w:rPr>
        <w:t xml:space="preserve">BORDER SECURITY INFRASTRUCTURE.  (a) </w:t>
      </w:r>
      <w:r>
        <w:rPr>
          <w:u w:val="single"/>
        </w:rPr>
        <w:t xml:space="preserve"> </w:t>
      </w:r>
      <w:r>
        <w:rPr>
          <w:u w:val="single"/>
        </w:rPr>
        <w:t xml:space="preserve">This section applies only to real property located in a county that borders the United Mexican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"Border security infrastructure" means a wall, barrier, fence, road, trench, apparatus, or other improvement designed or adapted to surveil or impede the movement of persons or objects crossing the Texas-Mexico border.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"Qualified border security infrastructure agreement" means a written agreement entered into between a property owner and this state or the United States to install or construct border security infrastructure on the owner's property. The agreement may provide for the installation or construction of additional improvements on the property that are not border security infrastructure.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is entitled to an exemption from taxation of the amount of appraised value of real property owned by the person that arises from the installation or construction on the property of an improvement that is installed or constructed: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under a qualified border security infrastructure agreement;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 land subject to a recorded easement granted by the property owner to this state or the United States that dedicates the property for a purpose described by Subsection (b)(1).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11.43(c),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provided by Section 11.13, 11.131, 11.132, 11.133, 11.134, 11.17, 11.18, 11.182, 11.1827, 11.183, 11.19, 11.20, 11.21, 11.22, 11.23(a), (h), (j), (j-1), or (m), 11.231, 11.254, 11.27, 11.271, 11.29, 11.30, 11.31, 11.315, 11.35, [</w:t>
      </w:r>
      <w:r>
        <w:rPr>
          <w:strike/>
        </w:rPr>
        <w:t xml:space="preserve">or</w:t>
      </w:r>
      <w:r>
        <w:t xml:space="preserve">] 11.36, </w:t>
      </w:r>
      <w:r>
        <w:rPr>
          <w:u w:val="single"/>
        </w:rPr>
        <w:t xml:space="preserve">or 11.38,</w:t>
      </w:r>
      <w:r>
        <w:t xml:space="preserve"> once allowed, need not be claimed in subsequent years, and except as otherwise provided by Subsection (e), the exemption applies to the property until it changes ownership or the person's qualification for the exemption changes. </w:t>
      </w:r>
      <w:r>
        <w:t xml:space="preserve"> </w:t>
      </w:r>
      <w:r>
        <w:t xml:space="preserve">However, except as provided by Subsection (r), the chief appraiser may require a person allowed one of the exemptions in a prior year to file a new application to confirm the person's current qualification for the exemption by delivering a written notice that a new application is required, accompanied by an appropriate application form, to the person previously allowed the exemption. </w:t>
      </w:r>
      <w:r>
        <w:t xml:space="preserve"> </w:t>
      </w:r>
      <w:r>
        <w:t xml:space="preserve">If the person previously allowed the exemption is 65 years of age or older, the chief appraiser may not cancel the exemption due to the person's failure to file the new application unless the chief appraiser complies with the requirements of Subsection (q), if applicable.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23.013, Tax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Section 1.04(7)(C), in determining the market value of real property, a chief appraiser may not consider the price paid by this state or the United States to purchase a parcel of or an easement in real property described by Section 11.38(a) if the purchase was for the purpose of installing or constructing on the property border security infrastructure as defined by Section 11.38(b)(1).</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It is the intent of the 89th Legislature, Regular Session, 2025, that the amendments made by this Act to Section 11.43(c), Tax Code,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January 1, 2026, but only if the constitutional amendment proposed by the 89th Legislature, Regular Session, 2025,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 is approved by the voters.  If that amendment is not approved by the voters, this Act has no effect.</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247 was passed by the House on May 6, 2025, by the following vote:</w:t>
      </w:r>
      <w:r xml:space="preserve">
        <w:t> </w:t>
      </w:r>
      <w:r xml:space="preserve">
        <w:t> </w:t>
      </w:r>
      <w:r>
        <w:t xml:space="preserve">Yeas 134, Nays 13,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247 was passed by the Senate on May 21, 2025, by the following vote:</w:t>
      </w:r>
      <w:r xml:space="preserve">
        <w:t> </w:t>
      </w:r>
      <w:r xml:space="preserve">
        <w:t> </w:t>
      </w:r>
      <w:r>
        <w:t xml:space="preserve">Yeas 23, Nays 8.</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