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89R892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short-barrel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46.05(a)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short-barrel firearm;</w:t>
      </w:r>
      <w:r>
        <w:t xml:space="preserve">]</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w:t>
      </w:r>
      <w:r>
        <w:rPr>
          <w:strike/>
        </w:rPr>
        <w:t xml:space="preserve">short-barrel firearm or</w:t>
      </w:r>
      <w:r>
        <w:t xml:space="preserve">]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46.01(10),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