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89R23132 MEW-F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Patterson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353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353: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Louderback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353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creating the criminal offense of trespass on or near school or day-care center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30, Penal Code, is amended by adding Section 30.055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30.055.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TRESPASS ON OR NEAR SCHOOL OR DAY-CARE CENTER PROPERTY.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"Day-care center" has the meaning assigned by Section 42.002, Human Resources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"Public property" includes a street, highway, alley, public park, or sidewalk.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"School" means a private or public elementary or secondary school.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"School or day-care center property" means: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 land and buildings owned or leased by a school or day-care center;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grounds or buildings on which an activity sponsored by the school or day-care center is being conducted.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enters or remains 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school or day-care center property;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public property located within 250 feet of school or day-care center property;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does not have: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reason or relationship for entering or remaining on the property that involves custody of or responsibility for a student enrolled at the school or day-care center;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written permission from an authorized representative of the school or day-care center;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receives a reasonable request to depart by an administrator, educator, or security personnel officer employed by the school or day-care center;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fails to depart.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A misdemeanor.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conduct constituting an offense under this section also constitutes an offense under another section of this code, the actor may be prosecuted under either section or both sections.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