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89R1958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property owners' association to assess a fine for discolored vegetation or turf during a period of residential watering restriction.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FINES DURING RESIDENTIAL WATER RESTRICTION.  (a)  For the purposes of this section, "residential watering restriction" means a temporary restriction of water use to irrigate residential vegetation or turf that is mandated by a municipality, water utility, or other wholesale or retail water supplier as part of a strategy to conserve water during a period of drought.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assess a fine against a property owner for a violation of an applicable restrictive covenant that requires the owner to maintain green vegetation or turf or prohibits discolored or brown vegetation or turf on the property: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when the owner's property is subject to a residential watering restriction under which discolored or brown vegetation or turf could reasonably result;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reasonable period of time after a residential watering restriction described by Subdivision (1) is lifted.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