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89R2136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 Curry, Cain, Moody,</w:t>
      </w:r>
      <w:r xml:space="preserve">
        <w:tab wTab="150" tlc="none" cTlc="0"/>
      </w:r>
      <w:r>
        <w:t xml:space="preserve">H.B.</w:t>
      </w:r>
      <w:r xml:space="preserve">
        <w:t> </w:t>
      </w:r>
      <w:r>
        <w:t xml:space="preserve">No.</w:t>
      </w:r>
      <w:r xml:space="preserve">
        <w:t> </w:t>
      </w:r>
      <w:r>
        <w:t xml:space="preserve">413</w:t>
      </w:r>
    </w:p>
    <w:p w:rsidR="003F3435" w:rsidRDefault="0032493E">
      <w:pPr>
        <w:jc w:val="both"/>
      </w:pPr>
      <w:r xml:space="preserve">
        <w:t> </w:t>
      </w:r>
      <w:r xml:space="preserve">
        <w:t> </w:t>
      </w:r>
      <w:r xml:space="preserve">
        <w:t> </w:t>
      </w:r>
      <w:r xml:space="preserve">
        <w:t> </w:t>
      </w:r>
      <w:r xml:space="preserve">
        <w:t> </w:t>
      </w:r>
      <w:r>
        <w:t xml:space="preserve">Money,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CERTAIN DEFENDANTS DETAINED LONGER THAN POTENTIAL PUNISHMENT.  (a)  Notwithstanding any other law and except as provided by Subsection (b), a defendant charged with an offense punishable as a Class B misdemeanor or any higher category of offense 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 being evaluated for competency or subject to an order of commitment issued under Chapter 46B.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