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CERTAIN DEFENDANTS DETAINED LONGER THAN POTENTIAL PUNISHMENT.  (a)  Notwithstanding any other law and except as provided by Subsection (b), a defendant charged with an offense punishable as a Class B misdemeanor or any higher category of offense may not be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 defendant who is being evaluated for competency or subject to an order of commitment issued under Chapter 46B.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413 was passed by the House on May 13, 2025, by the following vote:</w:t>
      </w:r>
      <w:r xml:space="preserve">
        <w:t> </w:t>
      </w:r>
      <w:r xml:space="preserve">
        <w:t> </w:t>
      </w:r>
      <w:r>
        <w:t xml:space="preserve">Yeas 115, Nays 23,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413 was passed by the Senate on May 25,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