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ineligibility to serve as a poll watcher.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33.006(b),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certificate of appointment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in writing and signed by the appointing authority or, for an appointment for a write-in candidate under Section 33.004, by each of the voters making the appointment;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indicate the capacity in which the appointing authority is acting;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the name, residence address, and voter registration number of the appointee and be signed by the appointee;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identify the election and the precinct polling place or other location at which the appointee is to serve;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 an election on a measure, identify the measure if more than one is to be voted on and state which side of the measure the appointee represents;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contain an affidavit executed by the appointee stating that the appointee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will not have possession of a device capable of recording images or sound or that the appointee will disable or deactivate the device while serving as a watcher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not been finally convicted of a felony of the first or second degree or a felony offense in connection with conduct directly attributable to an election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33.035,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33.035.</w:t>
      </w:r>
      <w:r xml:space="preserve">
        <w:t> </w:t>
      </w:r>
      <w:r xml:space="preserve">
        <w:t> </w:t>
      </w:r>
      <w:r>
        <w:t xml:space="preserve">INELIGIBILITY OF PERSON CONVICTED OF </w:t>
      </w:r>
      <w:r>
        <w:rPr>
          <w:u w:val="single"/>
        </w:rPr>
        <w:t xml:space="preserve">CERTAIN OFFENSES</w:t>
      </w:r>
      <w:r>
        <w:t xml:space="preserve"> </w:t>
      </w:r>
      <w:r>
        <w:t xml:space="preserve">[</w:t>
      </w:r>
      <w:r>
        <w:rPr>
          <w:strike/>
        </w:rPr>
        <w:t xml:space="preserve">ELECTION OFFENSE</w:t>
      </w:r>
      <w:r>
        <w:t xml:space="preserve">].  A person is ineligible to serve as a watcher in an election if the person has been finally convicted of </w:t>
      </w:r>
      <w:r>
        <w:rPr>
          <w:u w:val="single"/>
        </w:rPr>
        <w:t xml:space="preserve">a felony: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of the first or second degree;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 offense</w:t>
      </w:r>
      <w:r>
        <w:t xml:space="preserve">] in connection with conduct directly attributable to an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493 was passed by the House on May 13, 2025, by the following vote:</w:t>
      </w:r>
      <w:r xml:space="preserve">
        <w:t> </w:t>
      </w:r>
      <w:r xml:space="preserve">
        <w:t> </w:t>
      </w:r>
      <w:r>
        <w:t xml:space="preserve">Yeas 86, Nays 52, 3 present, not voting; that the House refused to concur in Senate amendments to H.B. No. 493 on May 28, 2025, and requested the appointment of a conference committee to consider the differences between the two houses; and that the House adopted the conference committee report on H.B. No. 493 on June 1, 2025, by the following vote:</w:t>
      </w:r>
      <w:r xml:space="preserve">
        <w:t> </w:t>
      </w:r>
      <w:r xml:space="preserve">
        <w:t> </w:t>
      </w:r>
      <w:r>
        <w:t xml:space="preserve">Yeas 90, Nays 44,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>
      <w:r>
        <w:br w:type="page"/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493 was passed by the Senate, with amendments, on May 26, 2025, by the following vote:</w:t>
      </w:r>
      <w:r xml:space="preserve">
        <w:t> </w:t>
      </w:r>
      <w:r xml:space="preserve">
        <w:t> </w:t>
      </w:r>
      <w:r>
        <w:t xml:space="preserve">Yeas 26, Nays 5; at the request of the House, the Senate appointed a conference committee to consider the differences between the two houses; and that the Senate adopted the conference committee report on H.B. No. 493 on June 1, 2025, by the following vote:</w:t>
      </w:r>
      <w:r xml:space="preserve">
        <w:t> </w:t>
      </w:r>
      <w:r xml:space="preserve">
        <w:t> </w:t>
      </w:r>
      <w:r>
        <w:t xml:space="preserve">Yeas 23, Nays 8.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