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89R21252 JDK-D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ineligibility to serve as a poll watcher.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33.006(b),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of appointment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writing and signed by the appointing authority or, for an appointment for a write-in candidate under Section 33.004, by each of the voters making the appointment;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indicate the capacity in which the appointing authority is acting;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state the name, residence address, and voter registration number of the appointee and be signed by the appointee;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identify the election and the precinct polling place or other location at which the appointee is to serve;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an election on a measure, identify the measure if more than one is to be voted on and state which side of the measure the appointee represents;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contain an affidavit executed by the appointee stating that the appointee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will not have possession of a device capable of recording images or sound or that the appointee will disable or deactivate the device while serving as a watcher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been finally convicted of a felony of the first or second degree or a felony offense in connection with conduct directly attributable to an election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33.035,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33.035.</w:t>
      </w:r>
      <w:r xml:space="preserve">
        <w:t> </w:t>
      </w:r>
      <w:r xml:space="preserve">
        <w:t> </w:t>
      </w:r>
      <w:r>
        <w:t xml:space="preserve">INELIGIBILITY OF PERSON CONVICTED OF </w:t>
      </w:r>
      <w:r>
        <w:rPr>
          <w:u w:val="single"/>
        </w:rPr>
        <w:t xml:space="preserve">CERTAIN OFFENSES</w:t>
      </w:r>
      <w:r>
        <w:t xml:space="preserve"> </w:t>
      </w:r>
      <w:r>
        <w:t xml:space="preserve">[</w:t>
      </w:r>
      <w:r>
        <w:rPr>
          <w:strike/>
        </w:rPr>
        <w:t xml:space="preserve">ELECTION OFFENSE</w:t>
      </w:r>
      <w:r>
        <w:t xml:space="preserve">].  A person is ineligible to serve as a watcher in an election if the person has been finally convicted of </w:t>
      </w:r>
      <w:r>
        <w:rPr>
          <w:u w:val="single"/>
        </w:rPr>
        <w:t xml:space="preserve">a felony: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 the first or second degree;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 offense</w:t>
      </w:r>
      <w:r>
        <w:t xml:space="preserve">] in connection with conduct directly attributable to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