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515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policies regarding student use of personal electronic devices.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38.028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38.028.</w:t>
      </w:r>
      <w:r>
        <w:rPr>
          <w:u w:val="single"/>
        </w:rPr>
        <w:t xml:space="preserve"> </w:t>
      </w:r>
      <w:r>
        <w:rPr>
          <w:u w:val="single"/>
        </w:rPr>
        <w:t xml:space="preserve"> </w:t>
      </w:r>
      <w:r>
        <w:rPr>
          <w:u w:val="single"/>
        </w:rPr>
        <w:t xml:space="preserve">RESTRICTIONS ON STUDENT USE OF PERSONAL ELECTRONIC DEVICES.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"Lockable container" means a reusable secure case, pouch, or bag that has a locking mechanism and can be used to securely store a personal electronic device.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"Personal electronic device" means a device carried on the person that is capable of displaying, delivering, producing, or otherwise providing access in a digital format to text, audio, images, or videos. </w:t>
      </w:r>
      <w:r>
        <w:rPr>
          <w:u w:val="single"/>
        </w:rPr>
        <w:t xml:space="preserve"> </w:t>
      </w:r>
      <w:r>
        <w:rPr>
          <w:u w:val="single"/>
        </w:rPr>
        <w:t xml:space="preserve">The term does not apply to a device issued for educational purposes by a school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trustees of a school district shall adopt a written policy prohibiting students from using a personal electronic device during the school day.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policy adopted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each student to place immediately on arriving at a district campus during regular school hours, or before the beginning of the regular school day if the student arrives at a district campus before regular school hours, each of the student's personal electronic devices in a secure location or storage device, such as a lockable container, provided by the district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prevents the student from viewing or using the device during the regular school 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made accessible for the student to retrieve the device at the end of the school day;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enforcement provisions to ensure strict compliance with the policy by students and district employees;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that a student may contact the student's parent or caregiver during the school day if needed by using a telephone made available to the student in a manner and location designated by the district;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authorize a student to access a personal electronic device during the school day if a medical professional provides written documentation indicating that the student's access to the device is necessary to manage or treat a medical condition diagnosed by the professional.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shall adopt rules to implement this section, including rules to ensure the collection by the agency and uniform reporting by school districts to the agency of data regarding the effectiveness of policies adopted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annually until 2030 shall post a report on the agency's Internet website regarding the data collected under Subsection (d). </w:t>
      </w:r>
      <w:r>
        <w:rPr>
          <w:u w:val="single"/>
        </w:rPr>
        <w:t xml:space="preserve"> </w:t>
      </w:r>
      <w:r>
        <w:rPr>
          <w:u w:val="single"/>
        </w:rPr>
        <w:t xml:space="preserve">The report must contain data that measures: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effects of policies adopted under this section on student behavior, mental health, and disciplinary incidents;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opinions of students and district employees regarding the policies.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