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property owners' association to assess a fine for discolored vegetation or turf during a period of residential watering restriction.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202, Property Code, is amended by adding Section 202.008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202.008.</w:t>
      </w:r>
      <w:r>
        <w:rPr>
          <w:u w:val="single"/>
        </w:rPr>
        <w:t xml:space="preserve"> </w:t>
      </w:r>
      <w:r>
        <w:rPr>
          <w:u w:val="single"/>
        </w:rPr>
        <w:t xml:space="preserve"> </w:t>
      </w:r>
      <w:r>
        <w:rPr>
          <w:u w:val="single"/>
        </w:rPr>
        <w:t xml:space="preserve">LIMITATION ON FINES DURING RESIDENTIAL WATER RESTRICTION.  (a)  For the purposes of this section, "residential watering restriction" means a temporary restriction of water use to irrigate residential vegetation or turf that is mandated by a municipality, water utility, or other wholesale or retail water supplier as part of a strategy to conserve water during a period of drought.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may not assess a fine against a property owner for a violation of an applicable restrictive covenant that requires the owner to plant or install grass or turf or maintain green vegetation or turf or prohibits discolored or brown vegetation or turf on the property: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a period when the owner's property is subject to a residential watering restriction under which discolored or brown vegetation or turf could reasonably result;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60th day after the date a residential watering restriction described by Subdivision (1) is lifted.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517 was passed by the House on April 24, 2025, by the following vote:</w:t>
      </w:r>
      <w:r xml:space="preserve">
        <w:t> </w:t>
      </w:r>
      <w:r xml:space="preserve">
        <w:t> </w:t>
      </w:r>
      <w:r>
        <w:t xml:space="preserve">Yeas 143,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517 was passed by the Senate on May 12, 2025,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