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89R11740 RAL-D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Harris Davila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517: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Button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517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property owners' association to assess a fine for discolored vegetation or turf during a period of residential watering restriction.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202, Property Code, is amended by adding Section 202.008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202.008.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LIMITATION ON FINES DURING RESIDENTIAL WATER RESTRICTION.  (a)  For the purposes of this section, "residential watering restriction" means a temporary restriction of water use to irrigate residential vegetation or turf that is mandated by a municipality, water utility, or other wholesale or retail water supplier as part of a strategy to conserve water during a period of drought.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property owners' association may not assess a fine against a property owner for a violation of an applicable restrictive covenant that requires the owner to maintain green vegetation or turf or prohibits discolored or brown vegetation or turf on the property: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a period when the owner's property is subject to a residential watering restriction under which discolored or brown vegetation or turf could reasonably result;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the 30th day after the date a residential watering restriction described by Subdivision (1) is lifted.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