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89R1958 CS-D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Davila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property owners' association to assess a fine for discolored vegetation or turf during a period of residential watering restriction.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FINES DURING RESIDENTIAL WATER RESTRICTION.  (a)  For the purposes of this section, "residential watering restriction" means a temporary restriction of water use to irrigate residential vegetation or turf that is mandated by a municipality, water utility, or other wholesale or retail water supplier as part of a strategy to conserve water during a period of drought.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assess a fine against a property owner for a violation of an applicable restrictive covenant that requires the owner to maintain green vegetation or turf or prohibits discolored or brown vegetation or turf on the property: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period when the owner's property is subject to a residential watering restriction under which discolored or brown vegetation or turf could reasonably result;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reasonable period of time after a residential watering restriction described by Subdivision (1) is lifted.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