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89R3393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political subdivision to establish and operate a guaranteed income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PROHIBITION ON GUARANTEED INCOME PROGRAM.  (a)  In this section, "guaranteed income program" means a program under which an individual is issued an unconditional cash payment on a regular basis to be used by the individual for any purpose.  The term does not include a program under which an individual is required to seek employment, perform work, or attend career or job training as a condition of receiving a payment.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explicitly authorized by law, a political subdivision may not adopt or enforce an ordinance, order, regulation, or other measure that establishes or provides for the operation of a guaranteed income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Notwithstanding Section 140.014, Local Government Code, as added by this Act, an ordinance, order, regulation, or other measure that establishes or provides for the operation of a guaranteed income program, as defined by that section, in effect before the effective date of this Act may be enforced until the earlier of January 1, 2026, or the expiration of the ordinance, order, regulation, or other measure.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