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89R1177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571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Except as otherwise provided by this section, 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taxpayer or resident who prevails in an action under Subsection (b) is entitled to recover from the political subdivision the taxpayer's or resident's reasonable attorney's fees and costs incurred in bringing the action.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or municipality from spending public funds to compensate or contract with an individual required to register as a lobbyist under Chapter 305 for the purpose of influencing or attempting to influence the outcome of legislation related to the military, military service members, or military veterans;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full-time employee of a nonprofit state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including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a legislative committee.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