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89R3182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residential land use and accessory dwelling units by a political subdivision;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 Local Government Code, is amended by adding Subchapter D to read as follows:</w:t>
      </w:r>
    </w:p>
    <w:p w:rsidR="003F3435" w:rsidRDefault="0032493E">
      <w:pPr>
        <w:spacing w:line="480" w:lineRule="auto"/>
        <w:jc w:val="center"/>
      </w:pPr>
      <w:r>
        <w:rPr>
          <w:u w:val="single"/>
        </w:rPr>
        <w:t xml:space="preserve">SUBCHAPTER D.  RESIDENTIAL ZONING LIMITATIONS IN CERTAIN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211.051.</w:t>
      </w:r>
      <w:r>
        <w:rPr>
          <w:u w:val="single"/>
        </w:rPr>
        <w:t xml:space="preserve"> </w:t>
      </w:r>
      <w:r>
        <w:rPr>
          <w:u w:val="single"/>
        </w:rPr>
        <w:t xml:space="preserve"> </w:t>
      </w:r>
      <w:r>
        <w:rPr>
          <w:u w:val="single"/>
        </w:rPr>
        <w:t xml:space="preserve">DEFINITION.  In this subchapter, "small lot" means a residential lot that is 4,000 square feet or less.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211.052.</w:t>
      </w:r>
      <w:r>
        <w:rPr>
          <w:u w:val="single"/>
        </w:rPr>
        <w:t xml:space="preserve"> </w:t>
      </w:r>
      <w:r>
        <w:rPr>
          <w:u w:val="single"/>
        </w:rPr>
        <w:t xml:space="preserve"> </w:t>
      </w:r>
      <w:r>
        <w:rPr>
          <w:u w:val="single"/>
        </w:rPr>
        <w:t xml:space="preserve">APPLICABILITY.  This subchapter applies only to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85,000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wholly or partly located in a county with a population of one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211.053.</w:t>
      </w:r>
      <w:r>
        <w:rPr>
          <w:u w:val="single"/>
        </w:rPr>
        <w:t xml:space="preserve"> </w:t>
      </w:r>
      <w:r>
        <w:rPr>
          <w:u w:val="single"/>
        </w:rPr>
        <w:t xml:space="preserve"> </w:t>
      </w:r>
      <w:r>
        <w:rPr>
          <w:u w:val="single"/>
        </w:rPr>
        <w:t xml:space="preserve">CONSTRUCTION OF SUBCHAPTER.  This subchapter may not be construed to affect requirements directly related to sewer or water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211.054.</w:t>
      </w:r>
      <w:r>
        <w:rPr>
          <w:u w:val="single"/>
        </w:rPr>
        <w:t xml:space="preserve"> </w:t>
      </w:r>
      <w:r>
        <w:rPr>
          <w:u w:val="single"/>
        </w:rPr>
        <w:t xml:space="preserve"> </w:t>
      </w:r>
      <w:r>
        <w:rPr>
          <w:u w:val="single"/>
        </w:rPr>
        <w:t xml:space="preserve">CERTAIN DWELLING UNIT LOT SIZE REQUIREMENTS PROHIBITED.  A municipality may not adopt or enforce an ordinance, rule, or other measure that requires: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residential lot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larger than 2,500 square feet;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wider than 16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deeper than 30 feet;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regulating the density of dwelling units on a residential lot, a ratio of dwelling units per acre that results in fewer than 31.1 units per acre.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211.055.</w:t>
      </w:r>
      <w:r>
        <w:rPr>
          <w:u w:val="single"/>
        </w:rPr>
        <w:t xml:space="preserve"> </w:t>
      </w:r>
      <w:r>
        <w:rPr>
          <w:u w:val="single"/>
        </w:rPr>
        <w:t xml:space="preserve"> </w:t>
      </w:r>
      <w:r>
        <w:rPr>
          <w:u w:val="single"/>
        </w:rPr>
        <w:t xml:space="preserve">SMALL LOTS.  (a)  A municipality may not adopt or enforce an ordinance, rule, or other measure that requires a small lot to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waterway, plane, or other setback greater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feet from the front or back of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feet from the side of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parking;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more than one parking space per unit;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off-site parking;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more than 30 percent open space or permeable surface;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fewer than three full stories not exceeding 10 feet in height measured from the interior floor to ceiling;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maximum building bulk;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wall articulation requirement;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zoning restriction that imposes restrictions inconsistent with this subsection, including restrictions through contiguous zoning districts or uses or from the creation of an overlapping zoning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require with respect to a small lot: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sharing of a driveway with another lot;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permitting fees equivalent to the permitting fees charged for the development of a lot the use of which is restricted to a single-family residence.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211.056.</w:t>
      </w:r>
      <w:r>
        <w:rPr>
          <w:u w:val="single"/>
        </w:rPr>
        <w:t xml:space="preserve"> </w:t>
      </w:r>
      <w:r>
        <w:rPr>
          <w:u w:val="single"/>
        </w:rPr>
        <w:t xml:space="preserve"> </w:t>
      </w:r>
      <w:r>
        <w:rPr>
          <w:u w:val="single"/>
        </w:rPr>
        <w:t xml:space="preserve">NO EFFECT ON OTHER ZONING AUTHORITY.  This subchapter does not prohibit a municipality from imposing restrictions that are applicable to all similarly situated lots or subdivisions, including requiring all subdivisions or all small lots to fully mitigate stormwater runoff.</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211.057.</w:t>
      </w:r>
      <w:r>
        <w:rPr>
          <w:u w:val="single"/>
        </w:rPr>
        <w:t xml:space="preserve"> </w:t>
      </w:r>
      <w:r>
        <w:rPr>
          <w:u w:val="single"/>
        </w:rPr>
        <w:t xml:space="preserve"> </w:t>
      </w:r>
      <w:r>
        <w:rPr>
          <w:u w:val="single"/>
        </w:rPr>
        <w:t xml:space="preserve">NO EFFECT ON HOMEOWNERS'</w:t>
      </w:r>
      <w:r>
        <w:rPr>
          <w:u w:val="single"/>
        </w:rPr>
        <w:t xml:space="preserve"> </w:t>
      </w:r>
      <w:r>
        <w:rPr>
          <w:u w:val="single"/>
        </w:rPr>
        <w:t xml:space="preserve">ASSOCIATIONS AND OTHER PRIVATE AGREEMENTS. </w:t>
      </w:r>
      <w:r>
        <w:rPr>
          <w:u w:val="single"/>
        </w:rPr>
        <w:t xml:space="preserve"> </w:t>
      </w:r>
      <w:r>
        <w:rPr>
          <w:u w:val="single"/>
        </w:rPr>
        <w:t xml:space="preserve">This subchapter does not prohibit property owners from enforcing rules or deed restrictions imposed by a homeowners'</w:t>
      </w:r>
      <w:r>
        <w:rPr>
          <w:u w:val="single"/>
        </w:rPr>
        <w:t xml:space="preserve"> </w:t>
      </w:r>
      <w:r>
        <w:rPr>
          <w:u w:val="single"/>
        </w:rPr>
        <w:t xml:space="preserve">association or by other private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211.058.</w:t>
      </w:r>
      <w:r>
        <w:rPr>
          <w:u w:val="single"/>
        </w:rPr>
        <w:t xml:space="preserve"> </w:t>
      </w:r>
      <w:r>
        <w:rPr>
          <w:u w:val="single"/>
        </w:rPr>
        <w:t xml:space="preserve"> </w:t>
      </w:r>
      <w:r>
        <w:rPr>
          <w:u w:val="single"/>
        </w:rPr>
        <w:t xml:space="preserve">SPECIAL EXCEPTION.  (a) </w:t>
      </w:r>
      <w:r>
        <w:rPr>
          <w:u w:val="single"/>
        </w:rPr>
        <w:t xml:space="preserve"> </w:t>
      </w:r>
      <w:r>
        <w:rPr>
          <w:u w:val="single"/>
        </w:rPr>
        <w:t xml:space="preserve">The owner of a property that is subject to the provisions of this subchapter may apply for a special exception from the lot or building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submitted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 to exempt a contiguous area subject to this subchapter and designated only for single-family residential 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approval of at least 51 percent of the owners of the property located on a block face that is the subject of the application, if the application proposes to exempt an area containing all lots located on at least one block face and not more than two opposing block faces;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approval of at least 55 percent of the owners of property located in the area that is the subject of the application, if the application proposes to exempt an area containing: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lots located on at least five block faces composed of five or more lots;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more than 500 lots within the same subdivision plat or 400 lots within two or more subdivision plats.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adopt procedures that comply with this chapter for providing notice, a hearing, and appeal of any decision to approve or deny an application submitted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exception granted under this section may not require a property to exceed the minimum lot size requirements for other properties subject to the zoning regulations applicable to the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211.059.</w:t>
      </w:r>
      <w:r>
        <w:rPr>
          <w:u w:val="single"/>
        </w:rPr>
        <w:t xml:space="preserve"> </w:t>
      </w:r>
      <w:r>
        <w:rPr>
          <w:u w:val="single"/>
        </w:rPr>
        <w:t xml:space="preserve"> </w:t>
      </w:r>
      <w:r>
        <w:rPr>
          <w:u w:val="single"/>
        </w:rPr>
        <w:t xml:space="preserve">PROPERTY OWNER ACTION.  (a) </w:t>
      </w:r>
      <w:r>
        <w:rPr>
          <w:u w:val="single"/>
        </w:rPr>
        <w:t xml:space="preserve"> </w:t>
      </w:r>
      <w:r>
        <w:rPr>
          <w:u w:val="single"/>
        </w:rPr>
        <w:t xml:space="preserve">A property owner may bring an action against a municipality that violates this subchapter for damages resulting from the violation and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a prevailing claimant reasonable attorney's fees incurred in bringing an action under this section. The claimant may not recover exemplary damages in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of a municipality to suit and from liability is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231, Local Government Code, is amended by adding Subchapter N to read as follows:</w:t>
      </w:r>
    </w:p>
    <w:p w:rsidR="003F3435" w:rsidRDefault="0032493E">
      <w:pPr>
        <w:spacing w:line="480" w:lineRule="auto"/>
        <w:jc w:val="center"/>
      </w:pPr>
      <w:r>
        <w:rPr>
          <w:u w:val="single"/>
        </w:rPr>
        <w:t xml:space="preserve">SUBCHAPTER N. LAND USE REGULATIONS FOR HIGH DENSITY RESIDENTIAL AREAS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231.301.</w:t>
      </w:r>
      <w:r>
        <w:rPr>
          <w:u w:val="single"/>
        </w:rPr>
        <w:t xml:space="preserve"> </w:t>
      </w:r>
      <w:r>
        <w:rPr>
          <w:u w:val="single"/>
        </w:rPr>
        <w:t xml:space="preserve"> </w:t>
      </w:r>
      <w:r>
        <w:rPr>
          <w:u w:val="single"/>
        </w:rPr>
        <w:t xml:space="preserve">DEFINITION.  In this subchapter, "high density residential area" means an area of land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unincorporated area of a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more than two dwelling units per acre.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231.302.</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subchapter applies only to a high density residential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in a county with a population of less than one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other zoning authority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231.303.</w:t>
      </w:r>
      <w:r>
        <w:rPr>
          <w:u w:val="single"/>
        </w:rPr>
        <w:t xml:space="preserve"> </w:t>
      </w:r>
      <w:r>
        <w:rPr>
          <w:u w:val="single"/>
        </w:rPr>
        <w:t xml:space="preserve"> </w:t>
      </w:r>
      <w:r>
        <w:rPr>
          <w:u w:val="single"/>
        </w:rPr>
        <w:t xml:space="preserve">LIMITED LAND USE REGULATION IN HIGH DENSITY RESIDENTIAL AREAS.  (a) </w:t>
      </w:r>
      <w:r>
        <w:rPr>
          <w:u w:val="single"/>
        </w:rPr>
        <w:t xml:space="preserve"> </w:t>
      </w:r>
      <w:r>
        <w:rPr>
          <w:u w:val="single"/>
        </w:rPr>
        <w:t xml:space="preserve">The commissioners court of a county may by order regulate the use of land located in a high density residential area in relation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and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quiet enjoyment of property, including regulations of noise and signage.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enter into an agreement under Chapter 791, Government Code, with a law enforcement agency for the purpose of enforcing an order adopted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231.304.</w:t>
      </w:r>
      <w:r>
        <w:rPr>
          <w:u w:val="single"/>
        </w:rPr>
        <w:t xml:space="preserve"> </w:t>
      </w:r>
      <w:r>
        <w:rPr>
          <w:u w:val="single"/>
        </w:rPr>
        <w:t xml:space="preserve"> </w:t>
      </w:r>
      <w:r>
        <w:rPr>
          <w:u w:val="single"/>
        </w:rPr>
        <w:t xml:space="preserve">PLATTING IN HIGH DENSITY RESIDENTIAL AREAS.  The commissioners court of a county may by order regulate the platting of high density residential areas. </w:t>
      </w:r>
      <w:r>
        <w:rPr>
          <w:u w:val="single"/>
        </w:rPr>
        <w:t xml:space="preserve"> </w:t>
      </w:r>
      <w:r>
        <w:rPr>
          <w:u w:val="single"/>
        </w:rPr>
        <w:t xml:space="preserve">The order may not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lot sizes to be less than 10,000 square feet;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lot width to be less than 100 square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C, Title 7, Local Government Code, is amended by adding Chapter 249 to read as follows:</w:t>
      </w:r>
    </w:p>
    <w:p w:rsidR="003F3435" w:rsidRDefault="0032493E">
      <w:pPr>
        <w:spacing w:line="480" w:lineRule="auto"/>
        <w:jc w:val="center"/>
      </w:pPr>
      <w:r>
        <w:rPr>
          <w:u w:val="single"/>
        </w:rPr>
        <w:t xml:space="preserve">CHAPTER 249.  REGULATION OF ACCESSORY DWELLING UNITS BY POLITICAL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DEFINITION.  In this chapter, "accessory dwelling unit" means a residential housing unit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on any lot that is zoned for a single-family home or duplex or is not zoned;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 of the attached or detached primary dwelling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complete and independent living facility for at least one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CERTAIN REGULATIONS PROHIBITED.  (a)  A political subdivision may not adopt or enforce an order, ordinance,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an owner of a lot described by Section 249.001(1) from building an accessory dwelling unit before, after, or concurrently with the building of the primary dwelling unit on the 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249.003(e), prohibits the owner from selling or entering into a residential lease of an accessory dwelling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any owner occupancy of the primary dwelling unit;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(b), requires parking for an accessory dwelling unit;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 minimum lot size for an accessory dwelling unit that is larger than the minimum lot size required by the political subdivision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duplex, as applicable, in a lot zoned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accessory dwelling unit on September 1, 2025, if the political subdivision only required a property owner to provide notice to the political subdivision of the proposed unit in order to be authorized to build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side or rear building, waterway, plane, or other setbacks larger than five feet for an accessory dwelling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owner of a lot zoned for a single-family home or duplex from converting an existing structure to an accessory dwelling unit by requiring setbacks larger than the current structure's setbacks;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applies the political subdivision's local growth restrictions or density or bulk limitations to an accessory dwelling unit;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provides a limitation on the square footage of an accessory dwelling unit that is less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percent of the square footage of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800 square feet;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regulates the design of an accessory dwelling unit, including the shape, size, massing, or distribution of square footage between floors;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requires the height of a room in an accessory dwelling unit to be more than 14 feet, measured from floor to ceiling;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charges an impact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any amount for an accessory dwelling unit that is less than 800 square feet;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conflicts with Chapter 395;</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charges any additional fee or any exaction, including a parkland or right-of-way dedication, specific to accessory dwelling units;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imposes any restriction of accessory dwelling unit occupancy on the basis of age or employment relationship with the primary dwelling unit owner;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prohibits an owner of a lot that is at least 10,000 square feet that is described by Section 249.001(1) from building two accessory dwelling units before, after, or concurrently with the primary dwelling unit;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prohibits the construction of accessory dwelling units consistent with this chapter under otherwise applicable open space or permeable surface restrictions.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(a)(4) does not limit a political subdivision's authority to require the replacement of parking required for the primary dwelling unit if the accessory dwelling unit construction eliminates the primary dwelling unit's existing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249.003.</w:t>
      </w:r>
      <w:r>
        <w:rPr>
          <w:u w:val="single"/>
        </w:rPr>
        <w:t xml:space="preserve"> </w:t>
      </w:r>
      <w:r>
        <w:rPr>
          <w:u w:val="single"/>
        </w:rPr>
        <w:t xml:space="preserve"> </w:t>
      </w:r>
      <w:r>
        <w:rPr>
          <w:u w:val="single"/>
        </w:rPr>
        <w:t xml:space="preserve">AUTHORIZED REGULATION.  (a)  Except as provided by this chapter, a political subdivision's height limitations, front setback limitations, site plan review, and other zoning requirements that are generally applicable to residential construction for the area in which an accessory dwelling unit is built apply to the accessory dwelling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publish accessory dwelling unit plans, building codes, and design standards that are permitted in the political subdivision. Subject to Section 249.002, standards may include height, setback, landscape, aesthetics standards, and maximum size of an accessory dwelling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authorize an accessory dwelling unit on a lot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 structure subject to a historic preservation law, subject to a political subdivision's authority to regulate under other law, including Section 211.003;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an area used to implement a water conservation plan described by Section 11.1271 or 13.146,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located in an area subject to a standard imposed by the Texas Water Development Board as described by Section 3000.002(c),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apply the political subdivision's regulations on short-term rental units to an accessory dwelling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may prohibit the sale of an accessory dwelling unit separately from the primary dwelling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249.004.</w:t>
      </w:r>
      <w:r>
        <w:rPr>
          <w:u w:val="single"/>
        </w:rPr>
        <w:t xml:space="preserve"> </w:t>
      </w:r>
      <w:r>
        <w:rPr>
          <w:u w:val="single"/>
        </w:rPr>
        <w:t xml:space="preserve"> </w:t>
      </w:r>
      <w:r>
        <w:rPr>
          <w:u w:val="single"/>
        </w:rPr>
        <w:t xml:space="preserve">PERMIT APPROVAL REQUIREMENTS.  (a)  A political subdivision that requires a permit to construct an accessory dwelling unit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 the application for the permit ministerially without discretionary review or a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only whether the application satisfies the applicable building codes, design standards, and fire codes;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deny the application not later than the 60th day after the date the applicant submits the completed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application described by Subsection (a) is considered approved if the political subdivision to which the application is submitted does not approve or deny the application on or before the 60th day after the date the applicant submits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249.005.</w:t>
      </w:r>
      <w:r>
        <w:rPr>
          <w:u w:val="single"/>
        </w:rPr>
        <w:t xml:space="preserve"> </w:t>
      </w:r>
      <w:r>
        <w:rPr>
          <w:u w:val="single"/>
        </w:rPr>
        <w:t xml:space="preserve"> </w:t>
      </w:r>
      <w:r>
        <w:rPr>
          <w:u w:val="single"/>
        </w:rPr>
        <w:t xml:space="preserve">EFFECT ON OTHER RESTRICTIONS AND RULES.  This chapter does not supersede, preempt, or apply to a historic preservation rule, deed restriction, or homeowners' association rule that limits or prohibits the construction of an accessory dwelling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249.006.</w:t>
      </w:r>
      <w:r>
        <w:rPr>
          <w:u w:val="single"/>
        </w:rPr>
        <w:t xml:space="preserve"> </w:t>
      </w:r>
      <w:r>
        <w:rPr>
          <w:u w:val="single"/>
        </w:rPr>
        <w:t xml:space="preserve"> </w:t>
      </w:r>
      <w:r>
        <w:rPr>
          <w:u w:val="single"/>
        </w:rPr>
        <w:t xml:space="preserve">ATTORNEY GENERAL ENFORCEMENT.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political subdivision has violated this chapter, the political subdivision may not adopt an ad valorem tax rate that exceeds the political subdivision's no-new-revenue tax rate for the tax year that begins on or after the date of the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249, Local Government Code, as added by this Act, applies only to a permit application submitted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N, Chapter 231, Local Government Code, as added by this Act, takes effect September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