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89R4404 LRM-D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Reynolds</w:t>
      </w:r>
      <w:r xml:space="preserve">
        <w:tab wTab="150" tlc="none" cTlc="0"/>
      </w:r>
      <w:r>
        <w:t xml:space="preserve">H.B.</w:t>
      </w:r>
      <w:r xml:space="preserve">
        <w:t> </w:t>
      </w:r>
      <w:r>
        <w:t xml:space="preserve">No.</w:t>
      </w:r>
      <w:r xml:space="preserve">
        <w:t> </w:t>
      </w:r>
      <w:r>
        <w:t xml:space="preserve">894</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acceptance of identification for voters who identify as transgender.</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F, Chapter 32, Election Code, is amended by adding Section 32.116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32.116.</w:t>
      </w:r>
      <w:r>
        <w:rPr>
          <w:u w:val="single"/>
        </w:rPr>
        <w:t xml:space="preserve"> </w:t>
      </w:r>
      <w:r>
        <w:rPr>
          <w:u w:val="single"/>
        </w:rPr>
        <w:t xml:space="preserve"> </w:t>
      </w:r>
      <w:r>
        <w:rPr>
          <w:u w:val="single"/>
        </w:rPr>
        <w:t xml:space="preserve">REQUIRED TRAINING RELATED TO ACCEPTING VOTERS WHO IDENTIFY AS TRANSGENDER.  Each program, standard, or material for any training developed under this subchapter must include:</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guidance for election workers to accept photo identification that may not align with a person's presenting gender expression or identity;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about voters who identify as transgender and their historical disenfranchisement.</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Section 63.0101, Election Code, is amended by adding Subsection (e) to read as follows: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An indication of gender on a form of identification described by this section that does not align with the gender expression or identity of the person seeking to vote does not invalidate the form of identification for the purpose of accepting a voter for voting.</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This Act takes effect September 1, 2025.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894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