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Toth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938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cause of action for drag performances performed in the presence of a minor.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</w:t>
      </w:r>
      <w:r>
        <w:rPr>
          <w:u w:val="single"/>
        </w:rPr>
        <w:t xml:space="preserve"> </w:t>
      </w:r>
      <w:r>
        <w:rPr>
          <w:u w:val="single"/>
        </w:rPr>
        <w:t xml:space="preserve">LIABILITY FOR DRAG PERFORMANCE IN PRESENCE OF MINOR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l00B.001.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</w:t>
      </w:r>
      <w:r>
        <w:rPr>
          <w:u w:val="single"/>
        </w:rPr>
        <w:t xml:space="preserve"> </w:t>
      </w:r>
      <w:r>
        <w:rPr>
          <w:u w:val="single"/>
        </w:rP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(l)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"Drag performance" means a performance in which a performer exhibits a gender that is different than the performer's gender recorded at birth using clothing, makeup, or other physical markers and sings, lip syncs, dances, or otherwise performs in a lascivious manner before an audience.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"Lascivious" means conduct of a sexual nature that is offensive to community standards of decency.  The term includes the intentional exposure of  genitalia in the  presence of a minor.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"Minor" means an individual who is younger than 18 years of age.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l00B.002.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FOR DRAG PERFORMANCE IN PRESENCE OF MINOR.  An individual who attends a drag performance as a minor may bring an action against a person who knowingly promotes, conducts, or participates as a performer in the drag performance  that occurs before an audience that includes the minor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performance violates the prevailing standard in the adult community for content suitable for minors;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person fails to take reasonable steps to restrict access to the performance by minors.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LIMITATIONS.  A claimant may bring an action under this chapter not later than the 10th anniversary of the date the cause of action accrues.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If a claimant prevails in an action brought under this chapter, the court shall award: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psychological, emotional, economic, and p</w:t>
      </w:r>
      <w:r>
        <w:rPr>
          <w:u w:val="single"/>
        </w:rPr>
        <w:t xml:space="preserve">hysical harm;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attorney's fees and costs incurred in bringing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statutory damages of $5,000.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DEFENSES.  (a)  It is an affirmative defense to an action brought under this chapter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defendant reasonably believed the minor was at least 18 years of age at the time the minor was allowed entry to the performance;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minor displayed an apparently valid proof of identification issued by a governmental agency purporting to establish that the minor was at least 18 years of age to gain entry to the performance.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It is not a defense to an action brought under this chapter that the minor was accompanied at the drag performance by the minor's parent or guardian.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938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