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Toth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971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use of a high occupancy vehicle lane to pass certain vehicles.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I, Chapter 545, Transportation Code, is amended by adding Section 545.429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545.429.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USE OF HIGH OCCUPANCY VEHICLE LANE TO PASS CERTAIN VEHICLES.  Regardless of the number of occupants in a motor vehicle, an operator of a motor vehicle is entitled to use any high occupancy vehicle lane in this state for the sole purpose of passing another vehicle that is being operated at a speed that is less than the posted speed limit for the roadway if the operator enters and exits the high occupancy vehicle lane at designated entry and exit points.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</w:t>
      </w:r>
      <w:r>
        <w:t xml:space="preserve">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971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