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89R216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Morales of Maverick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2028.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