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89R3390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regarding the use of perfluoroalkyl and polyfluoroalkyl chemicals in hydraulic fracturing.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STUDY.  The president of the University of Houston shall designate a department or entity at the university to conduct, in collaboration with the Railroad Commission of Texas and the Texas Commission on Environmental Quality, a study on the use of perfluoroalkyl and polyfluoroalkyl chemicals in the hydraulic fracturing process,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extent of the use of perfluoroalkyl and polyfluoroalkyl chemicals in the hydraulic fracturing process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whether and to what extent the public may be exposed through the air or water to perfluoroalkyl and polyfluoroalkyl chemicals used in the hydraulic fracturing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effects on human health and the environment of perfluoroalkyl and polyfluoroalkyl chemicals used in the hydraulic fracturing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feasibility of using chemical alternatives to perfluoroalkyl and polyfluoroalkyl chemicals in the hydraulic fracturing process;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whether perfluoroalkyl and polyfluoroalkyl chemicals should be restricted from use in the hydraulic fracturing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2026, the  department or entity at the University of Houston designated by the president of the university to conduct the study under Section 1 of this Act shall prepare a report with the conclusions of the study and submit the report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December 31,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