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89R2715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Bhojani, Lalani, LaHood,</w:t>
      </w:r>
      <w:r xml:space="preserve">
        <w:tab wTab="150" tlc="none" cTlc="0"/>
      </w:r>
      <w:r>
        <w:t xml:space="preserve">H.B.</w:t>
      </w:r>
      <w:r xml:space="preserve">
        <w:t> </w:t>
      </w:r>
      <w:r>
        <w:t xml:space="preserve">No.</w:t>
      </w:r>
      <w:r xml:space="preserve">
        <w:t> </w:t>
      </w:r>
      <w:r>
        <w:t xml:space="preserve">1211</w:t>
      </w:r>
    </w:p>
    <w:p w:rsidR="003F3435" w:rsidRDefault="0032493E">
      <w:pPr>
        <w:jc w:val="both"/>
      </w:pPr>
      <w:r xml:space="preserve">
        <w:t> </w:t>
      </w:r>
      <w:r xml:space="preserve">
        <w:t> </w:t>
      </w:r>
      <w:r xml:space="preserve">
        <w:t> </w:t>
      </w:r>
      <w:r xml:space="preserve">
        <w:t> </w:t>
      </w:r>
      <w:r xml:space="preserve">
        <w:t> </w:t>
      </w:r>
      <w:r>
        <w:t xml:space="preserve">González of El Paso,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54.366(a)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under the conservatorship of the Department of Family and Protective Services: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the day preceding the student's 18th birthday;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on the day preceding: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date the student is adopted, if that date is on or after September 1, 2009;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during an academic term in which the student was enrolled in a dual credit course or other course for which a high school student may earn joint high school and college credit[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enrolls in an institution of higher education as an undergraduate student or in a dual credit course or other course for which a high school student may earn joint high school and college credit not later than the student's 25th birthday</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(a)</w:t>
      </w:r>
      <w:r>
        <w:t xml:space="preserve"> [</w:t>
      </w:r>
      <w:r>
        <w:rPr>
          <w:strike/>
        </w:rPr>
        <w:t xml:space="preserve">(a)(1)</w:t>
      </w:r>
      <w:r>
        <w:t xml:space="preserve">],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 </w:t>
      </w:r>
      <w:r>
        <w:t xml:space="preserve">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2025 fall semester. </w:t>
      </w:r>
      <w:r>
        <w:t xml:space="preserve"> </w:t>
      </w:r>
      <w:r>
        <w:t xml:space="preserve">Tuition and fees charged for a term or semester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