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89R2264 CXP-D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Turner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1232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reporting of violations of law under the whistleblower protection laws.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554.002(a),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state or local governmental entity may not suspend or terminate the employment of, or take other adverse personnel action against, a public employee who in good faith reports a violation of law by the employing governmental entity</w:t>
      </w:r>
      <w:r>
        <w:rPr>
          <w:u w:val="single"/>
        </w:rPr>
        <w:t xml:space="preserve">,</w:t>
      </w:r>
      <w:r>
        <w:t xml:space="preserve"> [</w:t>
      </w:r>
      <w:r>
        <w:rPr>
          <w:strike/>
        </w:rPr>
        <w:t xml:space="preserve">or</w:t>
      </w:r>
      <w:r>
        <w:t xml:space="preserve">] another public employee</w:t>
      </w:r>
      <w:r>
        <w:rPr>
          <w:u w:val="single"/>
        </w:rPr>
        <w:t xml:space="preserve">, or an elected officer of the employing governmental entity</w:t>
      </w:r>
      <w:r>
        <w:t xml:space="preserve"> to an appropriate law enforcement authority.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1232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