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89R1661 MM-D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 Davila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certain food additives from being included in free or reduced-price meals provided by school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33, Education Code, is amended by adding Section 33.9011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33.9011.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CERTAIN ADDITIVES IN FREE OR REDUCED-PRICE MEALS.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"National school breakfast program" means the national school breakfast program under the Child Nutrition Act of 1966 (42 U.S.C. Section 1773).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"National school lunch program" means the national school lunch program of free or reduced-price lunches under 42 U.S.C. Section 1751 et seq.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that provides free or reduced-price meals to eligible students under Section 33.901, the national school breakfast program, or the national school lunch program may not provide as part of a free or reduced-price meal any food that contains the following substances: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brominated vegetable oil (BVO);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potassium bromate;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propylparaben;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azodicarbonamide;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butylated hydroxyanisole (BHA);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 dye 3;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titanium dioxide.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(a) Except as provided by Subsection (b) of this section, this Act applies beginning with the 2025-2026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Act applies only to a contract to provide food for free or reduced-price meals, as described by Section 33.9011, Education Code, as added by this Act, entered into or renewed on or after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