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 </w:t>
      </w:r>
      <w:r>
        <w:rPr>
          <w:u w:val="single"/>
        </w:rPr>
        <w:t xml:space="preserve"> </w:t>
      </w:r>
      <w:r>
        <w:rPr>
          <w:u w:val="single"/>
        </w:rPr>
        <w:t xml:space="preserve">The standard time in this state shall be referred to as Texas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1393 was passed by the House on April 16, 2025, by the following vote:</w:t>
      </w:r>
      <w:r xml:space="preserve">
        <w:t> </w:t>
      </w:r>
      <w:r xml:space="preserve">
        <w:t> </w:t>
      </w:r>
      <w:r>
        <w:t xml:space="preserve">Yeas 133, Nays 11,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1393 was passed by the Senate on May 22, 2025,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