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et al.</w:t>
      </w:r>
      <w:r>
        <w:t xml:space="preserve"> (Senate Sponsor</w:t>
      </w:r>
      <w:r xml:space="preserve">
        <w:t> </w:t>
      </w:r>
      <w:r>
        <w:t xml:space="preserve">-</w:t>
      </w:r>
      <w:r xml:space="preserve">
        <w:t> </w:t>
      </w:r>
      <w:r>
        <w:t xml:space="preserve">Bettencourt)</w:t>
      </w:r>
      <w:r xml:space="preserve">
        <w:tab wTab="150" tlc="none" cTlc="0"/>
      </w:r>
      <w:r>
        <w:t xml:space="preserve">H.B.</w:t>
      </w:r>
      <w:r xml:space="preserve">
        <w:t> </w:t>
      </w:r>
      <w:r>
        <w:t xml:space="preserve">No.</w:t>
      </w:r>
      <w:r xml:space="preserve">
        <w:t> </w:t>
      </w:r>
      <w:r>
        <w:t xml:space="preserve">1393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16,</w:t>
      </w:r>
      <w:r xml:space="preserve">
        <w:t> </w:t>
      </w:r>
      <w:r>
        <w:t xml:space="preserve">2025; April</w:t>
      </w:r>
      <w:r xml:space="preserve">
        <w:t> </w:t>
      </w:r>
      <w:r>
        <w:t xml:space="preserve">24,</w:t>
      </w:r>
      <w:r xml:space="preserve">
        <w:t> </w:t>
      </w:r>
      <w:r>
        <w:t xml:space="preserve">2025, read first time and referred to Committee on State Affairs; May</w:t>
      </w:r>
      <w:r xml:space="preserve">
        <w:t> </w:t>
      </w:r>
      <w:r>
        <w:t xml:space="preserve">6,</w:t>
      </w:r>
      <w:r xml:space="preserve">
        <w:t> </w:t>
      </w:r>
      <w:r>
        <w:t xml:space="preserve">2025, reported favorably by the following vote:</w:t>
      </w:r>
      <w:r>
        <w:t xml:space="preserve"> </w:t>
      </w:r>
      <w:r>
        <w:t xml:space="preserve"> </w:t>
      </w:r>
      <w:r>
        <w:t xml:space="preserve">Yeas 9, Nays 2; May</w:t>
      </w:r>
      <w:r xml:space="preserve">
        <w:t> </w:t>
      </w:r>
      <w:r>
        <w:t xml:space="preserve">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daylight saving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state, acting as authorized under federal law, shall observe daylight saving time year-round. </w:t>
      </w:r>
      <w:r>
        <w:rPr>
          <w:u w:val="single"/>
        </w:rPr>
        <w:t xml:space="preserve"> </w:t>
      </w:r>
      <w:r>
        <w:rPr>
          <w:u w:val="single"/>
        </w:rPr>
        <w:t xml:space="preserve">This subsection applies to both the portion of this state using central standard time as the official standard time and the portion of this state using mountain standard time as the official standard time. </w:t>
      </w:r>
      <w:r>
        <w:rPr>
          <w:u w:val="single"/>
        </w:rPr>
        <w:t xml:space="preserve"> </w:t>
      </w:r>
      <w:r>
        <w:rPr>
          <w:u w:val="single"/>
        </w:rPr>
        <w:t xml:space="preserve">The standard time in this state shall be referred to as Texas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otherwise provided by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This Act takes effect only if the United States Congress enacts legislation that becomes law that authorizes the State of Texas to observe daylight saving time year-round. </w:t>
      </w:r>
      <w:r>
        <w:t xml:space="preserve"> </w:t>
      </w:r>
      <w:r>
        <w:t xml:space="preserve">If the United States Congress does not enact legislation that becomes law described by this subsection, this Act has no effect.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