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Metcalf, Raymond</w:t>
      </w:r>
      <w:r xml:space="preserve">
        <w:tab wTab="150" tlc="none" cTlc="0"/>
      </w:r>
      <w:r>
        <w:t xml:space="preserve">H.B.</w:t>
      </w:r>
      <w:r xml:space="preserve">
        <w:t> </w:t>
      </w:r>
      <w:r>
        <w:t xml:space="preserve">No.</w:t>
      </w:r>
      <w:r xml:space="preserve">
        <w:t> </w:t>
      </w:r>
      <w:r>
        <w:t xml:space="preserve">1397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care, custody, and display of the letter known as the victory or death letter, the Texas Constitution, and the Texas Declaration of Independence.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L, Chapter 441, Government Code, is amended by adding Section 441.207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441.207.</w:t>
      </w:r>
      <w:r>
        <w:rPr>
          <w:u w:val="single"/>
        </w:rPr>
        <w:t xml:space="preserve"> </w:t>
      </w:r>
      <w:r>
        <w:rPr>
          <w:u w:val="single"/>
        </w:rPr>
        <w:t xml:space="preserve"> </w:t>
      </w:r>
      <w:r>
        <w:rPr>
          <w:u w:val="single"/>
        </w:rPr>
        <w:t xml:space="preserve">CARE, CUSTODY, AND DISPLAY OF VICTORY OR DEATH LETTER, TEXAS CONSTITUTION, AND TEXAS DECLARATION OF INDEPENDENCE.  (a)  In this section, "victory or death letter" means the letter written by Lieutenant Colonel William B. Travis dated February 24, 1836, and signed "Victory or Death."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is responsible for the care and custody of the victory or death letter, the Texas Constitution, and the Texas Declaration of Independence.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an appropriate place in the Alamo complex for the secure display of the victory or death letter;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Texas Historical Commission's determination that the transfer to and display of the letter at the Alamo complex is safe and appropriate, transfer the letter to that location for display.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Until the commission designates an appropriate place in the Alamo complex to display the victory or death letter and in collaboration with the Texas Historical Commission determines an appropriate time to securely transfer the letter to that place, the commission shall display the victory or death letter in the public location at the Capitol Complex at which the Texas Constitution and the Texas Declaration of Independence are displayed as required by Subsection (e).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collaborate with the Texas Historical Commission and State Preservation Board to determine an appropriate public location at the Capitol Complex for the secure display of the Texas Constitution and the Texas Declaration of Independence.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commission, in consultation and collaboration with the Texas Historical Commission and the State Preservation Board and not later than December 1, 2027,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plan to display in the Capitol Complex the Texas Declaration of Independence and the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 the plan on the commission's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copy of the plan to the standing committees of the legislature with jurisdiction over the state's historical resources.</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Subsection (e-1) and this subsection expire September 1, 2031.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in consultation and collaboration with the Texas Historical Commission and the State Preservation Board, may authorize for a limited period the display of the Texas Constitution, the Texas Declaration of Independence, or the victory or death letter at a historical event or historical site.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Costs attributable to the display of the victory or death letter, the Texas Constitution, and the Texas Declaration of Independence shall be paid by the commission, using money available to the commission for that purpose.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