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et al.</w:t>
      </w:r>
      <w:r>
        <w:t xml:space="preserve"> (Senate Sponsor</w:t>
      </w:r>
      <w:r xml:space="preserve">
        <w:t> </w:t>
      </w:r>
      <w:r>
        <w:t xml:space="preserve">-</w:t>
      </w:r>
      <w:r xml:space="preserve">
        <w:t> </w:t>
      </w:r>
      <w:r>
        <w:t xml:space="preserve">Nichols)</w:t>
      </w:r>
      <w:r xml:space="preserve">
        <w:tab wTab="150" tlc="none" cTlc="0"/>
      </w:r>
      <w:r>
        <w:t xml:space="preserve">H.B.</w:t>
      </w:r>
      <w:r xml:space="preserve">
        <w:t> </w:t>
      </w:r>
      <w:r>
        <w:t xml:space="preserve">No.</w:t>
      </w:r>
      <w:r xml:space="preserve">
        <w:t> </w:t>
      </w:r>
      <w:r>
        <w:t xml:space="preserve">1399</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29,</w:t>
      </w:r>
      <w:r xml:space="preserve">
        <w:t> </w:t>
      </w:r>
      <w:r>
        <w:t xml:space="preserve">2025; April</w:t>
      </w:r>
      <w:r xml:space="preserve">
        <w:t> </w:t>
      </w:r>
      <w:r>
        <w:t xml:space="preserve">30,</w:t>
      </w:r>
      <w:r xml:space="preserve">
        <w:t> </w:t>
      </w:r>
      <w:r>
        <w:t xml:space="preserve">2025, read first time and referred to Committee on Local Government; May</w:t>
      </w:r>
      <w:r xml:space="preserve">
        <w:t> </w:t>
      </w:r>
      <w:r>
        <w:t xml:space="preserve">6,</w:t>
      </w:r>
      <w:r xml:space="preserve">
        <w:t> </w:t>
      </w:r>
      <w:r>
        <w:t xml:space="preserve">2025, reported favorably by the following vote:</w:t>
      </w:r>
      <w:r>
        <w:t xml:space="preserve"> </w:t>
      </w:r>
      <w:r>
        <w:t xml:space="preserve"> </w:t>
      </w:r>
      <w:r>
        <w:t xml:space="preserve">Yeas 7, Nays 0; May</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exemption from ad valorem taxation of tangible personal property consisting of animal feed held by the owner of the property for sale at retail.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11.162.</w:t>
      </w:r>
      <w:r>
        <w:rPr>
          <w:u w:val="single"/>
        </w:rPr>
        <w:t xml:space="preserve"> </w:t>
      </w:r>
      <w:r>
        <w:rPr>
          <w:u w:val="single"/>
        </w:rPr>
        <w:t xml:space="preserve"> </w:t>
      </w:r>
      <w:r>
        <w:rPr>
          <w:u w:val="single"/>
        </w:rPr>
        <w:t xml:space="preserve">ANIMAL FEED HELD FOR SALE AT RETAIL.  The owner of tangible personal property consisting of animal feed exempted from sales and use taxes under Section 151.316(a)(3) or (4) is entitled to an exemption from ad valorem taxation of the appraised value of the tangible personal property if the property is held by the owner for sale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authorizing the legislature to exempt from ad valorem taxation tangible personal property consisting of animal feed held by the owner of the property for sale at retail is approved by the voters. </w:t>
      </w:r>
      <w:r>
        <w:t xml:space="preserve"> </w:t>
      </w:r>
      <w:r>
        <w:t xml:space="preserve">If that amendment is not approved by the voters, this Act has no effect.</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