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89R1473 DRS-D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Harris 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1402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prohibition on the use of public money to pay for the alteration of a roadway related to high-speed rail construction.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Section 199.003,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199.003.</w:t>
      </w:r>
      <w:r xml:space="preserve">
        <w:t> </w:t>
      </w:r>
      <w:r xml:space="preserve">
        <w:t> </w:t>
      </w:r>
      <w:r>
        <w:t xml:space="preserve">USE OF </w:t>
      </w:r>
      <w:r>
        <w:rPr>
          <w:u w:val="single"/>
        </w:rPr>
        <w:t xml:space="preserve">PUBLIC</w:t>
      </w:r>
      <w:r>
        <w:t xml:space="preserve"> [</w:t>
      </w:r>
      <w:r>
        <w:rPr>
          <w:strike/>
        </w:rPr>
        <w:t xml:space="preserve">STATE</w:t>
      </w:r>
      <w:r>
        <w:t xml:space="preserve">] MONEY FOR HIGH-SPEED RAIL.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Sections 199.003(a) and (b), Transportation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For the purposes of this section</w:t>
      </w:r>
      <w:r>
        <w:rPr>
          <w:u w:val="single"/>
        </w:rPr>
        <w:t xml:space="preserve">:</w:t>
      </w:r>
      <w:r>
        <w:t xml:space="preserve"> [</w:t>
      </w:r>
      <w:r>
        <w:rPr>
          <w:strike/>
        </w:rPr>
        <w:t xml:space="preserve">,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"</w:t>
      </w:r>
      <w:r>
        <w:rPr>
          <w:u w:val="single"/>
        </w:rPr>
        <w:t xml:space="preserve">High-speed</w:t>
      </w:r>
      <w:r>
        <w:t xml:space="preserve"> [</w:t>
      </w:r>
      <w:r>
        <w:rPr>
          <w:strike/>
        </w:rPr>
        <w:t xml:space="preserve">high-speed</w:t>
      </w:r>
      <w:r>
        <w:t xml:space="preserve">] rail" means intercity passenger rail service that is reasonably expected to reach speeds of at least 110 miles per hour.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"Public money" means money of this state, a state agency, or a political subdivision of this state or money the state, state agency, or political subdivision controls or directs.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Except as required by federal law or other state law, including the National Environmental Policy Act of 1969 (42 U.S.C. Section 4321 et seq.):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legislature may not appropriate money to pay for a cost of planning, facility construction or maintenance, or security for, promotion of, or operation of, high-speed rail operated by a private entity;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state agency may not accept or use </w:t>
      </w:r>
      <w:r>
        <w:rPr>
          <w:u w:val="single"/>
        </w:rPr>
        <w:t xml:space="preserve">public</w:t>
      </w:r>
      <w:r>
        <w:t xml:space="preserve"> [</w:t>
      </w:r>
      <w:r>
        <w:rPr>
          <w:strike/>
        </w:rPr>
        <w:t xml:space="preserve">state</w:t>
      </w:r>
      <w:r>
        <w:t xml:space="preserve">] money to pay for a cost described by Subdivision (1)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state, a state agency, or a political subdivision of this state may not use public money to pay for the alteration of a roadway related to the construction of a high-speed rail project operated by a public or private entity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1402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