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89R27368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1403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1403: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Hull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1403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collection and confidentiality of information regarding firearms in agency foster homes; creating a civil penalty.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42.042, Human Resources Code, is amended by adding Subsections (e-6), (e-7), (e-8), and (e-9)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commission, the department, and a child-placing agency that contracts with the department may not require an  agency foster home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disclose the specific types of firearms that are present in the home;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notify the child-placing agency if there is any change in the types of firearms that are present in the home.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commission, the department, or a child-placing agency that contracts with the department has or obtains information relating to the types of firearms that are present in an agency foster home, the commission, department, or child-placing agency may not use that information for any purpose other than determining whether there are firearms present in the home.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child-placing agency that violates Subsection (e-7) is liable to the state for a civil penalty in an amount not to exceed $5,000 for each violation. </w:t>
      </w:r>
      <w:r>
        <w:rPr>
          <w:u w:val="single"/>
        </w:rPr>
        <w:t xml:space="preserve"> </w:t>
      </w:r>
      <w:r>
        <w:rPr>
          <w:u w:val="single"/>
        </w:rPr>
        <w:t xml:space="preserve">The attorney general may bring an action to recover a civil penalty authorized under this subsection.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Information relating to the types of firearms that are present in an agency foster home is confidential and is not subject to disclosure under Chapter 552, Government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1403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