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Middleton)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1403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14,</w:t>
      </w:r>
      <w:r xml:space="preserve">
        <w:t> </w:t>
      </w:r>
      <w:r>
        <w:t xml:space="preserve">2025; May</w:t>
      </w:r>
      <w:r xml:space="preserve">
        <w:t> </w:t>
      </w:r>
      <w:r>
        <w:t xml:space="preserve">19,</w:t>
      </w:r>
      <w:r xml:space="preserve">
        <w:t> </w:t>
      </w:r>
      <w:r>
        <w:t xml:space="preserve">2025, read first time and referred to Committee on Health &amp; Human Services;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3;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collection and confidentiality of information regarding firearms in agency foster homes; creating a civil penalty.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42.042, Human Resources Code, is amended by adding Subsections (e-6), (e-7), (e-8), and (e-9)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commission, the department, and a child-placing agency that contracts with the department may not require an  agency foster home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disclose the specific types of firearms that are present in the home;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notify the child-placing agency if there is any change in the types of firearms that are present in the home.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commission, the department, or a child-placing agency that contracts with the department has or obtains information relating to the types of firearms that are present in an agency foster home, the commission, department, or child-placing agency may not use that information for any purpose other than determining whether there are firearms present in the home.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child-placing agency that violates Subsection (e-7) is liable to the state for a civil penalty in an amount not to exceed $5,000 for each violation. </w:t>
      </w:r>
      <w:r>
        <w:rPr>
          <w:u w:val="single"/>
        </w:rPr>
        <w:t xml:space="preserve"> </w:t>
      </w:r>
      <w:r>
        <w:rPr>
          <w:u w:val="single"/>
        </w:rPr>
        <w:t xml:space="preserve">The attorney general may bring an action to recover a civil penalty authorized under this subsection.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(e-9)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Information relating to the types of firearms that are present in an agency foster home is confidential and is not subject to disclosure under Chapter 552, Government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1403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