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1523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the authorization by the Texas Commission on Environmental Quality of the use of a Class V injection well for certain aquifer storage and recovery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27, Water Code, is amended by adding Section 27.1535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27.1535.</w:t>
      </w:r>
      <w:r>
        <w:rPr>
          <w:u w:val="single"/>
        </w:rPr>
        <w:t xml:space="preserve"> </w:t>
      </w:r>
      <w:r>
        <w:rPr>
          <w:u w:val="single"/>
        </w:rPr>
        <w:t xml:space="preserve"> </w:t>
      </w:r>
      <w:r>
        <w:rPr>
          <w:u w:val="single"/>
        </w:rPr>
        <w:t xml:space="preserve">RESTRICTION ON AUTHORIZATIONS OF USE OF CERTAIN CLASS V INJECTION WELLS.  (a)  This section applies only to a Class V injection well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in any portion of the territory of a groundwater conservation district that is located wholly or partly in a county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population of more than 70,000 and less than 100,000 and contains a portion of the Colorado River;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adjacent to a county that has a population of one million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for an aquifer storage and recovery project operated by a municipally owned utility that primarily provides water to a municipality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population of 750,000 or more;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a county adjacent to a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a condition of authorizing the use of a Class V injection well for an aquifer storage and recovery project, the commission shall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 withdraw no more water than is injected into the aquifer;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project establish monitoring wells;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water quality testing be conducted in accordance with Section 27.156 and commission rules adopted under that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well monitoring data obtained under Subdivision (2) and water quality testing data obtained under Subdivision (3) be provided to the groundwater conservation district described by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authorizing the use of a Class V injection well for an aquifer storage and recovery project, the commission shall hold a public meeting in the county in which the injection well is proposed to be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authorize the use of a Class V injection well for an aquifer storage and recovery project if the authorization does not include the terms provided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