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1523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14,</w:t>
      </w:r>
      <w:r xml:space="preserve">
        <w:t> </w:t>
      </w:r>
      <w:r>
        <w:t xml:space="preserve">2025; May</w:t>
      </w:r>
      <w:r xml:space="preserve">
        <w:t> </w:t>
      </w:r>
      <w:r>
        <w:t xml:space="preserve">15,</w:t>
      </w:r>
      <w:r xml:space="preserve">
        <w:t> </w:t>
      </w:r>
      <w:r>
        <w:t xml:space="preserve">2025, read first time and referred to Committee on Water, Agriculture and Rural Affairs; May</w:t>
      </w:r>
      <w:r xml:space="preserve">
        <w:t> </w:t>
      </w:r>
      <w:r>
        <w:t xml:space="preserve">23,</w:t>
      </w:r>
      <w:r xml:space="preserve">
        <w:t> </w:t>
      </w:r>
      <w:r>
        <w:t xml:space="preserve">2025, reported adversely, with favorable Committee Substitute by the following vote:</w:t>
      </w:r>
      <w:r>
        <w:t xml:space="preserve"> </w:t>
      </w:r>
      <w:r>
        <w:t xml:space="preserve"> </w:t>
      </w:r>
      <w:r>
        <w:t xml:space="preserve">Yeas 8,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1523</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temporary prohibition on the authorization by the Texas Commission on Environmental Quality of the use of a Class V injection well for certain aquifer storage and recovery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27, Water Code, is amended by adding Section 27.1535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27.1535.</w:t>
      </w:r>
      <w:r>
        <w:rPr>
          <w:u w:val="single"/>
        </w:rPr>
        <w:t xml:space="preserve"> </w:t>
      </w:r>
      <w:r>
        <w:rPr>
          <w:u w:val="single"/>
        </w:rPr>
        <w:t xml:space="preserve"> </w:t>
      </w:r>
      <w:r>
        <w:rPr>
          <w:u w:val="single"/>
        </w:rPr>
        <w:t xml:space="preserve">TEMPORARY PROHIBITION ON AUTHORIZATIONS OF USE OF CERTAIN CLASS V INJECTION WELLS.  (a)  This section applies only to a Class V injection well that is located in any portion of the territory of a groundwater conservation district that has adopted a resolution finding that Class V injection wells pose environmental risks to aquifers located in the territory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authorize the use of a Class V injection well for an aquifer storage and recovery project operated by a municipally owned utility that primarily provides water to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750,000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a county adjacent to a county in which a groundwater conservation district described by Subsection (a) is wholly or partly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