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89R18654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Gates, Cook, et al.</w:t>
      </w:r>
      <w:r xml:space="preserve">
        <w:tab wTab="150" tlc="none" cTlc="0"/>
      </w:r>
      <w:r>
        <w:t xml:space="preserve">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and to the location of residential developments owned by those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rPr>
          <w:u w:val="single"/>
        </w:rPr>
        <w:t xml:space="preserve">subject to Section 394.905(c),</w:t>
      </w:r>
      <w:r>
        <w:t xml:space="preserve">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t xml:space="preserve">LOCATION OF RESIDENTIAL </w:t>
      </w:r>
      <w:r>
        <w:rPr>
          <w:u w:val="single"/>
        </w:rPr>
        <w:t xml:space="preserve">DEVELOPMENTS</w:t>
      </w:r>
      <w:r>
        <w:t xml:space="preserve"> </w:t>
      </w:r>
      <w:r>
        <w:t xml:space="preserve">[</w:t>
      </w:r>
      <w:r>
        <w:rPr>
          <w:strike/>
        </w:rPr>
        <w:t xml:space="preserve">DEVELOPMENT</w:t>
      </w:r>
      <w:r>
        <w:t xml:space="preserve">];  </w:t>
      </w:r>
      <w:r>
        <w:rPr>
          <w:u w:val="single"/>
        </w:rPr>
        <w:t xml:space="preserve">TRANSFER OF</w:t>
      </w:r>
      <w:r>
        <w:t xml:space="preserve"> </w:t>
      </w:r>
      <w:r>
        <w:t xml:space="preserve">[</w:t>
      </w:r>
      <w:r>
        <w:rPr>
          <w:strike/>
        </w:rPr>
        <w:t xml:space="preserve">RESIDENTIAL DEVELOPMENT</w:t>
      </w:r>
      <w:r>
        <w:t xml:space="preserve">] SITES. </w:t>
      </w:r>
      <w:r>
        <w:t xml:space="preserve"> </w:t>
      </w:r>
      <w:r>
        <w:t xml:space="preserve">(a)  A residential development </w:t>
      </w:r>
      <w:r>
        <w:rPr>
          <w:u w:val="single"/>
        </w:rPr>
        <w:t xml:space="preserve">subject to</w:t>
      </w:r>
      <w:r>
        <w:t xml:space="preserve"> </w:t>
      </w:r>
      <w:r>
        <w:t xml:space="preserve">[</w:t>
      </w:r>
      <w:r>
        <w:rPr>
          <w:strike/>
        </w:rPr>
        <w:t xml:space="preserve">covered by</w:t>
      </w:r>
      <w:r>
        <w:t xml:space="preserve">] this chapter must be located within the </w:t>
      </w:r>
      <w:r>
        <w:rPr>
          <w:u w:val="single"/>
        </w:rPr>
        <w:t xml:space="preserve">boundaries of the</w:t>
      </w:r>
      <w:r>
        <w:t xml:space="preserve"> </w:t>
      </w:r>
      <w:r>
        <w:t xml:space="preserve">local government </w:t>
      </w:r>
      <w:r>
        <w:rPr>
          <w:u w:val="single"/>
        </w:rPr>
        <w:t xml:space="preserve">that formed the housing finance corporation that owns the development</w:t>
      </w:r>
      <w:r>
        <w:t xml:space="preserve">.</w:t>
      </w:r>
    </w:p>
    <w:p w:rsidR="003F3435" w:rsidRDefault="0032493E">
      <w:pPr>
        <w:spacing w:line="480" w:lineRule="auto"/>
        <w:ind w:firstLine="720"/>
        <w:jc w:val="both"/>
      </w:pPr>
      <w:r>
        <w:t xml:space="preserve">(b)</w:t>
      </w:r>
      <w:r xml:space="preserve">
        <w:t> </w:t>
      </w:r>
      <w:r xml:space="preserve">
        <w:t> </w:t>
      </w:r>
      <w:r>
        <w:t xml:space="preserve">The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w:t>
      </w:r>
      <w:r>
        <w:t xml:space="preserve"> </w:t>
      </w:r>
      <w:r>
        <w:t xml:space="preserve"> </w:t>
      </w:r>
      <w:r>
        <w:t xml:space="preserve">The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 residential development owned by a housing finance corporation is exempt from taxes imposed by this state or a political subdivision of this state only if the development is located within the boundaries of the local government that formed the corporation.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394.905(c), Local Government Code, as added by this Act, applies only to a tax or fee to be imposed on a housing finance corporation with respect to a newly built residential development for which a certificate of occupancy is issued on or after the effective date of this Act or with respect to any other residential development that is acquired by the corporation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