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89R5258 SCR-D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application for a permit for the transfer of groundwater out of a groundwater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36.122, Water Code, is amended by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shall adopt rules requiring that notice be given for an application filed to comply with this section. The notice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paid for by the applicant;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 by certified mail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district that is adjacent to the district considering the application;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each county in which the district considering the application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each county in which a district that receives notice under Paragraph (A) is located;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published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of general circulation in the county in which the district considering the application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of general circulation in each county in which a district that receives notice under Subdivision (2)(A)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