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2025; April</w:t>
      </w:r>
      <w:r xml:space="preserve">
        <w:t> </w:t>
      </w:r>
      <w:r>
        <w:t xml:space="preserve">28,</w:t>
      </w:r>
      <w:r xml:space="preserve">
        <w:t> </w:t>
      </w:r>
      <w:r>
        <w:t xml:space="preserve">2025, read first time and referred to Committee on Water, Agriculture and Rural Affairs;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1690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application for a permit for the transfer of groundwater out of a groundwater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36.122, Water Code, is amended by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shall adopt rules requiring that notice be given for an application filed to comply with this section. The notice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paid for by the applicant;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 by certified mail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district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 considering the application;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overlies any portion of the aquifer from which the groundwater would be produced;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each county: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district considering the application is located;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overlies any portion of the aquifer from which the groundwater would be produced;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each county in which a district that receives notice under Paragraph (A) is located;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published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of general circulation in the county in which the district considering the application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of general circulation in each county in which a district that receives notice under Subdivision (2)(A)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