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89R8054 CMO-D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Shaw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regarding the effects of perfluoroalkyl and polyfluoroalkyl chemicals on public health.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STUDY.  The president of the University of Houston shall designate a department or entity at the university to conduct, in collaboration with the Railroad Commission of Texas and the Texas Commission on Environmental Quality, a study on the effects of perfluoroalkyl and polyfluoroalkyl chemicals on public health. The study must include an assessment of the health impact of perfluoroalkyl and polyfluoroalkyl chemicals found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produce, meat, and other food and beverage products, including their packaging;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groundwater, rivers, lakes, reservoirs, and other water sources used to supply the public with drinking water;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equipment or materials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likely contain perfluoroalkyl and polyfluoroalkyl chemicals;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regularly come in contact with professionals, including firefighters and chemical manufacturing workers.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REPORT.</w:t>
      </w:r>
      <w:r xml:space="preserve">
        <w:t> </w:t>
      </w:r>
      <w:r xml:space="preserve">
        <w:t> </w:t>
      </w:r>
      <w:r>
        <w:t xml:space="preserve">Not later than December 1, 2026, the</w:t>
      </w:r>
      <w:r xml:space="preserve">
        <w:t> </w:t>
      </w:r>
      <w:r xml:space="preserve">
        <w:t> </w:t>
      </w:r>
      <w:r>
        <w:t xml:space="preserve">department or entity at the University of Houston designated by the president of the university to conduct the study under Section 1 of this Act shall prepare a report with the conclusions of the study and submit the report to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</w:t>
      </w:r>
      <w:r xml:space="preserve">
        <w:t> </w:t>
      </w:r>
      <w:r xml:space="preserve">
        <w:t> </w:t>
      </w:r>
      <w:r>
        <w:t xml:space="preserve">This Act expires December 31, 2026.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