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89R5416 JCG-D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Hernandez, Cook, Anchía</w:t>
      </w:r>
      <w:r xml:space="preserve">
        <w:tab wTab="150" tlc="none" cTlc="0"/>
      </w:r>
      <w:r>
        <w:t xml:space="preserve">H.B.</w:t>
      </w:r>
      <w:r xml:space="preserve">
        <w:t> </w:t>
      </w:r>
      <w:r>
        <w:t xml:space="preserve">No.</w:t>
      </w:r>
      <w:r xml:space="preserve">
        <w:t> </w:t>
      </w:r>
      <w:r>
        <w:t xml:space="preserve">1732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massage therapy.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455.152, Occupations Code, as amended by Chapters 13 (S.B. 483) and 440 (H.B. 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Penal Code [</w:t>
      </w:r>
      <w:r>
        <w:rPr>
          <w:strike/>
        </w:rPr>
        <w:t xml:space="preserve">Section 22.011 or 22.021 Penal Code</w:t>
      </w:r>
      <w:r>
        <w:t xml:space="preserve">], or Section </w:t>
      </w:r>
      <w:r>
        <w:rPr>
          <w:u w:val="single"/>
        </w:rPr>
        <w:t xml:space="preserve">22.011, 22.012, 22.021,</w:t>
      </w:r>
      <w:r>
        <w:t xml:space="preserve"> 43.021, 43.03, 43.031, 43.04, 43.041, or 43.05, Penal Code; or</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an offense </w:t>
      </w:r>
      <w:r>
        <w:rPr>
          <w:u w:val="single"/>
        </w:rPr>
        <w:t xml:space="preserve">described by Section 455.152</w:t>
      </w:r>
      <w:r>
        <w:t xml:space="preserve"> [</w:t>
      </w:r>
      <w:r>
        <w:rPr>
          <w:strike/>
        </w:rPr>
        <w:t xml:space="preserve">under Chapter 20A, Penal Code, or Section 43.021, 43.03, 43.031, 43.04, 43.041, or 43.05, Penal Code;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offense under federal law or the laws of another state containing elements that are substantially similar to the elements of an offense described by Paragraph (A)</w:t>
      </w:r>
      <w:r>
        <w:t xml:space="preserve">];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Texas Commission of Licensing and Regulation shall adopt rules necessary to implement Sections 455.152 and 455.251, Occupations Code, as amended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