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89R20364 MEW-F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Cook, Bonnen, Moody, Smithee, Louderback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1902</w:t>
      </w:r>
    </w:p>
    <w:p w:rsidR="003F3435" w:rsidRDefault="0032493E">
      <w:pPr>
        <w:spacing w:line="480" w:lineRule="auto"/>
        <w:jc w:val="both"/>
      </w:pPr>
      <w:r>
        <w:t xml:space="preserve">Substitute the following for</w:t>
      </w:r>
      <w:r xml:space="preserve">
        <w:t> </w:t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1902: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Cook</w:t>
      </w:r>
      <w:r xml:space="preserve">
        <w:tab wTab="150" tlc="none" cTlc="0"/>
      </w:r>
      <w:r>
        <w:t xml:space="preserve">C.S.H.B.</w:t>
      </w:r>
      <w:r xml:space="preserve">
        <w:t> </w:t>
      </w:r>
      <w:r>
        <w:t xml:space="preserve">No.</w:t>
      </w:r>
      <w:r xml:space="preserve">
        <w:t> </w:t>
      </w:r>
      <w:r>
        <w:t xml:space="preserve">1902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creating the criminal offense of jugging.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29, Penal Code, is amended by adding Section 29.04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29.04.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JUGGING.  (a) </w:t>
      </w:r>
      <w:r>
        <w:rPr>
          <w:u w:val="single"/>
        </w:rPr>
        <w:t xml:space="preserve"> </w:t>
      </w:r>
      <w:r>
        <w:rPr>
          <w:u w:val="single"/>
        </w:rPr>
        <w:t xml:space="preserve">A person commits an offense if, with the intent to commit theft of another person's money, the person: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knowingly travels from a commercial business or financial institution, as defined by Section 201.101, Finance Code, on the same path or route as another person without substantially deviating from that path or route;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is in possession of two or more criminal instruments, as defined by Section 16.01.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offense under this section is a state jail felony, except that the offense is: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felony of the third degree if, during the commission of the offense, the actor commits an offense under Section 30.04;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felony of the first degree if, during the commission of the offense, the actor commits an offense under Section 29.02.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If conduct constituting an offense under this section also constitutes an offense under another section of this code, the actor may be prosecuted under either section or under both sections.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C.S.H.B.</w:t>
    </w:r>
    <w:r xml:space="preserve">
      <w:t> </w:t>
    </w:r>
    <w:r>
      <w:t xml:space="preserve">No.</w:t>
    </w:r>
    <w:r xml:space="preserve">
      <w:t> </w:t>
    </w:r>
    <w:r>
      <w:t xml:space="preserve">1902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