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89R4596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Spiller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1964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equitable relief from the enforcement of certain governmental requirements that affect agricultural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251, Agriculture Code, is amended by adding Section 251.009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251.009.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RIGHT OF ACTION.  (a)  If a political subdivision enforces a governmental requirement in violation of this chapter, a person aggrieved by the violation may bring an action against the political subdivision to obtain declaratory or injunctive relief to block the enforcement of the governmental requirement.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who prevails in an action under this section may recover court costs and reasonable attorney's fees.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251.009, Agriculture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1964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