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Cook</w:t>
      </w:r>
      <w:r>
        <w:t xml:space="preserve"> (Senate Sponsor</w:t>
      </w:r>
      <w:r xml:space="preserve">
        <w:t> </w:t>
      </w:r>
      <w:r>
        <w:t xml:space="preserve">-</w:t>
      </w:r>
      <w:r xml:space="preserve">
        <w:t> </w:t>
      </w:r>
      <w:r>
        <w:t xml:space="preserve">Zaffirini)</w:t>
      </w:r>
      <w:r xml:space="preserve">
        <w:tab wTab="150" tlc="none" cTlc="0"/>
      </w:r>
      <w:r>
        <w:t xml:space="preserve">H.B.</w:t>
      </w:r>
      <w:r xml:space="preserve">
        <w:t> </w:t>
      </w:r>
      <w:r>
        <w:t xml:space="preserve">No.</w:t>
      </w:r>
      <w:r xml:space="preserve">
        <w:t> </w:t>
      </w:r>
      <w:r>
        <w:t xml:space="preserve">1973</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Jurisprudence; May</w:t>
      </w:r>
      <w:r xml:space="preserve">
        <w:t> </w:t>
      </w:r>
      <w:r>
        <w:t xml:space="preserve">23,</w:t>
      </w:r>
      <w:r xml:space="preserve">
        <w:t> </w:t>
      </w:r>
      <w:r>
        <w:t xml:space="preserve">2025, reported adversely, with favorable Committee Substitute by the following vote:</w:t>
      </w:r>
      <w:r>
        <w:t xml:space="preserve"> </w:t>
      </w:r>
      <w:r>
        <w:t xml:space="preserve"> </w:t>
      </w:r>
      <w:r>
        <w:t xml:space="preserve">Yeas 4, Nays 0;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1973</w:t>
      </w:r>
      <w:r xml:space="preserve">
        <w:tab wTab="150" tlc="none" cTlc="0"/>
      </w:r>
      <w:r>
        <w:t xml:space="preserve">By:</w:t>
      </w:r>
      <w:r xml:space="preserve">
        <w:t> </w:t>
      </w:r>
      <w:r xml:space="preserve">
        <w:t> </w:t>
      </w:r>
      <w:r>
        <w:t xml:space="preserve">Johnson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proof of the identity of a child's parents in a suit affecting the parent-child relationship.</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102.008, Family Code, is amended by adding Subsection (c-1) and amending Subsection (d) to read as follows:</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petitioner shall additionally submit to the court a certified copy of the child's birth certificate if available to the petitioner. </w:t>
      </w:r>
      <w:r>
        <w:rPr>
          <w:u w:val="single"/>
        </w:rPr>
        <w:t xml:space="preserve"> </w:t>
      </w:r>
      <w:r>
        <w:rPr>
          <w:u w:val="single"/>
        </w:rPr>
        <w:t xml:space="preserve">If a certified copy of the child's birth certificate is not available to the petitioner, the court at any time during the pendency of the suit may request another party to whom a certified copy of the child's birth certificate is available to submit a copy to the court.  A certified copy of the child's birth certificate submitted under this subsection must be submitted for filing under seal and filed separately from any other document. </w:t>
      </w:r>
      <w:r>
        <w:rPr>
          <w:u w:val="single"/>
        </w:rPr>
        <w:t xml:space="preserve"> </w:t>
      </w:r>
      <w:r>
        <w:rPr>
          <w:u w:val="single"/>
        </w:rPr>
        <w:t xml:space="preserve">If a certified copy of the child's birth certificate is not available to any party or if the copy does not name both of the child's parents, the court may request from any party at any time during the pendency of the suit alternative proof of the identity of the child's parents.  The court shall seal or otherwise keep confidential any certificate or other proof submitted under this subsection, as applicable.</w:t>
      </w:r>
    </w:p>
    <w:p w:rsidR="003F3435" w:rsidRDefault="0032493E">
      <w:pPr>
        <w:spacing w:line="480" w:lineRule="auto"/>
        <w:ind w:firstLine="720"/>
        <w:jc w:val="both"/>
      </w:pPr>
      <w:r>
        <w:t xml:space="preserve">(d)</w:t>
      </w:r>
      <w:r xml:space="preserve">
        <w:t> </w:t>
      </w:r>
      <w:r xml:space="preserve">
        <w:t> </w:t>
      </w:r>
      <w:r>
        <w:t xml:space="preserve">Notwithstanding any other provision of this section, if the Title IV-D agency files a petition in a suit affecting the parent-child relationship, the agency is not required to:</w:t>
      </w:r>
    </w:p>
    <w:p w:rsidR="003F3435" w:rsidRDefault="0032493E">
      <w:pPr>
        <w:spacing w:line="480" w:lineRule="auto"/>
        <w:ind w:firstLine="1440"/>
        <w:jc w:val="both"/>
      </w:pPr>
      <w:r>
        <w:t xml:space="preserve">(1)</w:t>
      </w:r>
      <w:r xml:space="preserve">
        <w:t> </w:t>
      </w:r>
      <w:r xml:space="preserve">
        <w:t> </w:t>
      </w:r>
      <w:r>
        <w:t xml:space="preserve">include in the petition the statement described by Subsection (b)(11);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attach copies of the documentation described by Subsection (c)</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submit to the court a copy of a child's birth certificate or other proof of the identity of the child's parents as described by Subsection (c-1)</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to a suit affecting the parent-child relationship that is filed on or after the effective date of this Act. </w:t>
      </w:r>
      <w:r>
        <w:t xml:space="preserve"> </w:t>
      </w:r>
      <w:r>
        <w:t xml:space="preserve">A suit affecting the parent-child relationship filed before the effective date of this Act is governed by the law in effect on the date the suit was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1973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