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 committed against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CHILD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w:t>
      </w:r>
      <w:r>
        <w:rPr>
          <w:u w:val="single"/>
        </w:rPr>
        <w:t xml:space="preserve"> </w:t>
      </w:r>
      <w:r>
        <w:rPr>
          <w:u w:val="single"/>
        </w:rPr>
        <w:t xml:space="preserve">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w:t>
      </w:r>
      <w:r>
        <w:rPr>
          <w:u w:val="single"/>
        </w:rPr>
        <w:t xml:space="preserve"> </w:t>
      </w:r>
      <w:r>
        <w:rPr>
          <w:u w:val="single"/>
        </w:rPr>
        <w:t xml:space="preserve">Any provision of a nondisclosure or confidentiality agreement, or nondisclosure or confidentiality provision of an employment  agreement, settlement agreement, or any other agreement is void and unenforceable as against the public policy of this state to  the extent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party from notifying, or limits the  party's ability to notify, a local or state law enforcement agency or any state or federal regulatory agency of any act of sexual  abuse committed against a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a party from disclosing to any person,  including during any related investigation, prosecution, legal  proceeding, or dispute resolution, facts surrounding any act of sexual abuse committed against a child, including the identity of the alleged offender.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