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89R11911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Ashby, Holt, Bumgarner,</w:t>
      </w:r>
      <w:r xml:space="preserve">
        <w:tab wTab="150" tlc="none" cTlc="0"/>
      </w:r>
      <w:r>
        <w:t xml:space="preserve">H.B.</w:t>
      </w:r>
      <w:r xml:space="preserve">
        <w:t> </w:t>
      </w:r>
      <w:r>
        <w:t xml:space="preserve">No.</w:t>
      </w:r>
      <w:r xml:space="preserve">
        <w:t> </w:t>
      </w:r>
      <w:r>
        <w:t xml:space="preserve">2000</w:t>
      </w:r>
    </w:p>
    <w:p w:rsidR="003F3435" w:rsidRDefault="0032493E">
      <w:pPr>
        <w:jc w:val="both"/>
      </w:pPr>
      <w:r xml:space="preserve">
        <w:t> </w:t>
      </w:r>
      <w:r xml:space="preserve">
        <w:t> </w:t>
      </w:r>
      <w:r xml:space="preserve">
        <w:t> </w:t>
      </w:r>
      <w:r xml:space="preserve">
        <w:t> </w:t>
      </w:r>
      <w:r xml:space="preserve">
        <w:t> </w:t>
      </w:r>
      <w:r>
        <w:t xml:space="preserve">González of Dallas,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2000:</w:t>
      </w:r>
    </w:p>
    <w:p w:rsidR="003F3435" w:rsidRDefault="0032493E">
      <w:pPr>
        <w:spacing w:line="480" w:lineRule="auto"/>
        <w:jc w:val="both"/>
        <w:tabs>
          <w:tab w:val="right" w:leader="none" w:pos="9350"/>
        </w:tabs>
      </w:pPr>
      <w:r>
        <w:t xml:space="preserve">By:</w:t>
      </w:r>
      <w:r xml:space="preserve">
        <w:t> </w:t>
      </w:r>
      <w:r xml:space="preserve">
        <w:t> </w:t>
      </w:r>
      <w:r>
        <w:t xml:space="preserve">Wu</w:t>
      </w:r>
      <w:r xml:space="preserve">
        <w:tab wTab="150" tlc="none" cTlc="0"/>
      </w:r>
      <w:r>
        <w:t xml:space="preserve">C.S.H.B.</w:t>
      </w:r>
      <w:r xml:space="preserve">
        <w:t> </w:t>
      </w:r>
      <w:r>
        <w:t xml:space="preserve">No.</w:t>
      </w:r>
      <w:r xml:space="preserve">
        <w:t> </w:t>
      </w:r>
      <w:r>
        <w:t xml:space="preserve">2000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applicability of sex offender registration requirements to the offense of child grooming.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Audrii's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62.001(5), Code of Criminal Procedure, is amended to read as follows:</w:t>
      </w:r>
    </w:p>
    <w:p w:rsidR="003F3435" w:rsidRDefault="0032493E">
      <w:pPr>
        <w:spacing w:line="480" w:lineRule="auto"/>
        <w:ind w:firstLine="1440"/>
        <w:jc w:val="both"/>
      </w:pPr>
      <w:r>
        <w:t xml:space="preserve">(5)</w:t>
      </w:r>
      <w:r xml:space="preserve">
        <w:t> </w:t>
      </w:r>
      <w:r xml:space="preserve">
        <w:t> </w:t>
      </w:r>
      <w:r>
        <w:t xml:space="preserve">"Reportable conviction or adjudication" means a conviction or adjudication, including an adjudication of delinquent conduct or a deferred adjudication, that, regardless of the pendency of an appeal, is a conviction for or an adjudication for or based on:</w:t>
      </w:r>
    </w:p>
    <w:p w:rsidR="003F3435" w:rsidRDefault="0032493E">
      <w:pPr>
        <w:spacing w:line="480" w:lineRule="auto"/>
        <w:ind w:firstLine="2160"/>
        <w:jc w:val="both"/>
      </w:pPr>
      <w:r>
        <w:t xml:space="preserve">(A)</w:t>
      </w:r>
      <w:r xml:space="preserve">
        <w:t> </w:t>
      </w:r>
      <w:r xml:space="preserve">
        <w:t> </w:t>
      </w:r>
      <w:r>
        <w:t xml:space="preserve">a violation of Section 21.02 (Continuous sexual abuse of young child or disabled individual), 21.09 (Bestiality), 21.11 (Indecency with a child), 22.011 (Sexual assault), 22.021 (Aggravated sexual assault), or 25.02 (Prohibited sexual conduct), Penal Code;</w:t>
      </w:r>
    </w:p>
    <w:p w:rsidR="003F3435" w:rsidRDefault="0032493E">
      <w:pPr>
        <w:spacing w:line="480" w:lineRule="auto"/>
        <w:ind w:firstLine="2160"/>
        <w:jc w:val="both"/>
      </w:pPr>
      <w:r>
        <w:t xml:space="preserve">(B)</w:t>
      </w:r>
      <w:r xml:space="preserve">
        <w:t> </w:t>
      </w:r>
      <w:r xml:space="preserve">
        <w:t> </w:t>
      </w:r>
      <w:r>
        <w:t xml:space="preserve">a violation of Section 43.04 (Aggravated promotion of prostitution), 43.05 (Compelling prostitution), 43.25 (Sexual performance by a child), or 43.26 (Possession or promotion of child pornography), Penal Code;</w:t>
      </w:r>
    </w:p>
    <w:p w:rsidR="003F3435" w:rsidRDefault="0032493E">
      <w:pPr>
        <w:spacing w:line="480" w:lineRule="auto"/>
        <w:ind w:firstLine="2160"/>
        <w:jc w:val="both"/>
      </w:pPr>
      <w:r>
        <w:t xml:space="preserve">(B-1)</w:t>
      </w:r>
      <w:r xml:space="preserve">
        <w:t> </w:t>
      </w:r>
      <w:r xml:space="preserve">
        <w:t> </w:t>
      </w:r>
      <w:r>
        <w:t xml:space="preserve">a violation of Section 43.021 (Solicitation of Prostitution), Penal Code, if the offense is punishable as a felony of the second degree;</w:t>
      </w:r>
    </w:p>
    <w:p w:rsidR="003F3435" w:rsidRDefault="0032493E">
      <w:pPr>
        <w:spacing w:line="480" w:lineRule="auto"/>
        <w:ind w:firstLine="2160"/>
        <w:jc w:val="both"/>
      </w:pPr>
      <w:r>
        <w:t xml:space="preserve">(C)</w:t>
      </w:r>
      <w:r xml:space="preserve">
        <w:t> </w:t>
      </w:r>
      <w:r xml:space="preserve">
        <w:t> </w:t>
      </w:r>
      <w:r>
        <w:t xml:space="preserve">a violation of Section 20.04(a)(4) (Aggravated kidnapping), Penal Code, if the actor committed the offense or engaged in the conduct with intent to violate or abuse the victim sexually;</w:t>
      </w:r>
    </w:p>
    <w:p w:rsidR="003F3435" w:rsidRDefault="0032493E">
      <w:pPr>
        <w:spacing w:line="480" w:lineRule="auto"/>
        <w:ind w:firstLine="2160"/>
        <w:jc w:val="both"/>
      </w:pPr>
      <w:r>
        <w:t xml:space="preserve">(D)</w:t>
      </w:r>
      <w:r xml:space="preserve">
        <w:t> </w:t>
      </w:r>
      <w:r xml:space="preserve">
        <w:t> </w:t>
      </w:r>
      <w:r>
        <w:t xml:space="preserve">a violation of Section 30.02 (Burglary), Penal Code, if the offense or conduct is punishable under Subsection (d) of that section and the actor committed the offense or engaged in the conduct with intent to commit a felony listed in Paragraph (A) or (C);</w:t>
      </w:r>
    </w:p>
    <w:p w:rsidR="003F3435" w:rsidRDefault="0032493E">
      <w:pPr>
        <w:spacing w:line="480" w:lineRule="auto"/>
        <w:ind w:firstLine="2160"/>
        <w:jc w:val="both"/>
      </w:pPr>
      <w:r>
        <w:t xml:space="preserve">(E)</w:t>
      </w:r>
      <w:r xml:space="preserve">
        <w:t> </w:t>
      </w:r>
      <w:r xml:space="preserve">
        <w:t> </w:t>
      </w:r>
      <w:r>
        <w:t xml:space="preserve">a violation of Section 20.02 (Unlawful restraint), 20.03 (Kidnapping), or 20.04 (Aggravated kidnapping), Penal Code, if, as applicable:</w:t>
      </w:r>
    </w:p>
    <w:p w:rsidR="003F3435" w:rsidRDefault="0032493E">
      <w:pPr>
        <w:spacing w:line="480" w:lineRule="auto"/>
        <w:ind w:firstLine="2880"/>
        <w:jc w:val="both"/>
      </w:pPr>
      <w:r>
        <w:t xml:space="preserve">(i)</w:t>
      </w:r>
      <w:r xml:space="preserve">
        <w:t> </w:t>
      </w:r>
      <w:r xml:space="preserve">
        <w:t> </w:t>
      </w:r>
      <w:r>
        <w:t xml:space="preserve">the judgment in the case contains an affirmative finding under Article 42.015; or</w:t>
      </w:r>
    </w:p>
    <w:p w:rsidR="003F3435" w:rsidRDefault="0032493E">
      <w:pPr>
        <w:spacing w:line="480" w:lineRule="auto"/>
        <w:ind w:firstLine="2880"/>
        <w:jc w:val="both"/>
      </w:pPr>
      <w:r>
        <w:t xml:space="preserve">(ii)</w:t>
      </w:r>
      <w:r xml:space="preserve">
        <w:t> </w:t>
      </w:r>
      <w:r xml:space="preserve">
        <w:t> </w:t>
      </w:r>
      <w:r>
        <w:t xml:space="preserve">the order in the hearing or the papers in the case contain an affirmative finding that the victim or intended victim was younger than 17 years of age;</w:t>
      </w:r>
    </w:p>
    <w:p w:rsidR="003F3435" w:rsidRDefault="0032493E">
      <w:pPr>
        <w:spacing w:line="480" w:lineRule="auto"/>
        <w:ind w:firstLine="2160"/>
        <w:jc w:val="both"/>
      </w:pPr>
      <w:r>
        <w:t xml:space="preserve">(F)</w:t>
      </w:r>
      <w:r xml:space="preserve">
        <w:t> </w:t>
      </w:r>
      <w:r xml:space="preserve">
        <w:t> </w:t>
      </w:r>
      <w:r>
        <w:t xml:space="preserve">the second violation of Section 21.08 (Indecent exposure), Penal Code, but not if the second violation results in a deferred adjudication;</w:t>
      </w:r>
    </w:p>
    <w:p w:rsidR="003F3435" w:rsidRDefault="0032493E">
      <w:pPr>
        <w:spacing w:line="480" w:lineRule="auto"/>
        <w:ind w:firstLine="2160"/>
        <w:jc w:val="both"/>
      </w:pPr>
      <w:r>
        <w:t xml:space="preserve">(G)</w:t>
      </w:r>
      <w:r xml:space="preserve">
        <w:t> </w:t>
      </w:r>
      <w:r xml:space="preserve">
        <w:t> </w:t>
      </w:r>
      <w:r>
        <w:t xml:space="preserve">an attempt, conspiracy, or solicitation, as defined by Chapter 15, Penal Code, to commit an offense or engage in conduct listed in Paragraph (A), (B), (C), (D), (E), (K), or (L);</w:t>
      </w:r>
    </w:p>
    <w:p w:rsidR="003F3435" w:rsidRDefault="0032493E">
      <w:pPr>
        <w:spacing w:line="480" w:lineRule="auto"/>
        <w:ind w:firstLine="2160"/>
        <w:jc w:val="both"/>
      </w:pPr>
      <w:r>
        <w:t xml:space="preserve">(H)</w:t>
      </w:r>
      <w:r xml:space="preserve">
        <w:t> </w:t>
      </w:r>
      <w:r xml:space="preserve">
        <w:t> </w:t>
      </w:r>
      <w:r>
        <w:t xml:space="preserve">a violation of the laws of another state, federal law, the laws of a foreign country, or the Uniform Code of Military Justice for or based on the violation of an offense containing elements that are substantially similar to the elements of an offense listed under Paragraph (A), (B), (B-1), (C), (D), (E), (G), (J), (K), [</w:t>
      </w:r>
      <w:r>
        <w:rPr>
          <w:strike/>
        </w:rPr>
        <w:t xml:space="preserve">or</w:t>
      </w:r>
      <w:r>
        <w:t xml:space="preserve">] (L), </w:t>
      </w:r>
      <w:r>
        <w:rPr>
          <w:u w:val="single"/>
        </w:rPr>
        <w:t xml:space="preserve">or (M),</w:t>
      </w:r>
      <w:r>
        <w:t xml:space="preserve"> but not if the violation results in a deferred adjudication;</w:t>
      </w:r>
    </w:p>
    <w:p w:rsidR="003F3435" w:rsidRDefault="0032493E">
      <w:pPr>
        <w:spacing w:line="480" w:lineRule="auto"/>
        <w:ind w:firstLine="2160"/>
        <w:jc w:val="both"/>
      </w:pPr>
      <w:r>
        <w:t xml:space="preserve">(I)</w:t>
      </w:r>
      <w:r xml:space="preserve">
        <w:t> </w:t>
      </w:r>
      <w:r xml:space="preserve">
        <w:t> </w:t>
      </w:r>
      <w:r>
        <w:t xml:space="preserve">the second violation of the laws of another state, federal law, the laws of a foreign country, or the Uniform Code of Military Justice for or based on the violation of an offense containing elements that are substantially similar to the elements of the offense of indecent exposure, but not if the second violation results in a deferred adjudication;</w:t>
      </w:r>
    </w:p>
    <w:p w:rsidR="003F3435" w:rsidRDefault="0032493E">
      <w:pPr>
        <w:spacing w:line="480" w:lineRule="auto"/>
        <w:ind w:firstLine="2160"/>
        <w:jc w:val="both"/>
      </w:pPr>
      <w:r>
        <w:t xml:space="preserve">(J)</w:t>
      </w:r>
      <w:r xml:space="preserve">
        <w:t> </w:t>
      </w:r>
      <w:r xml:space="preserve">
        <w:t> </w:t>
      </w:r>
      <w:r>
        <w:t xml:space="preserve">a violation of Section 33.021 (Online solicitation of a minor), Penal Code;</w:t>
      </w:r>
    </w:p>
    <w:p w:rsidR="003F3435" w:rsidRDefault="0032493E">
      <w:pPr>
        <w:spacing w:line="480" w:lineRule="auto"/>
        <w:ind w:firstLine="2160"/>
        <w:jc w:val="both"/>
      </w:pPr>
      <w:r>
        <w:t xml:space="preserve">(K)</w:t>
      </w:r>
      <w:r xml:space="preserve">
        <w:t> </w:t>
      </w:r>
      <w:r xml:space="preserve">
        <w:t> </w:t>
      </w:r>
      <w:r>
        <w:t xml:space="preserve">a violation of Section 20A.02(a)(3), (4), (7), or (8) (Trafficking of persons), Penal Code; [</w:t>
      </w:r>
      <w:r>
        <w:rPr>
          <w:strike/>
        </w:rPr>
        <w:t xml:space="preserve">or</w:t>
      </w:r>
      <w:r>
        <w:t xml:space="preserve">]</w:t>
      </w:r>
    </w:p>
    <w:p w:rsidR="003F3435" w:rsidRDefault="0032493E">
      <w:pPr>
        <w:spacing w:line="480" w:lineRule="auto"/>
        <w:ind w:firstLine="2160"/>
        <w:jc w:val="both"/>
      </w:pPr>
      <w:r>
        <w:t xml:space="preserve">(L)</w:t>
      </w:r>
      <w:r xml:space="preserve">
        <w:t> </w:t>
      </w:r>
      <w:r xml:space="preserve">
        <w:t> </w:t>
      </w:r>
      <w:r>
        <w:t xml:space="preserve">a violation of Section 20A.03 (Continuous trafficking of persons), Penal Code, if the offense is based partly or wholly on conduct that constitutes an offense under Section 20A.02(a)(3), (4), (7), or (8) of that code</w:t>
      </w:r>
      <w:r>
        <w:rPr>
          <w:u w:val="single"/>
        </w:rPr>
        <w:t xml:space="preserve">; or</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a violation of Section 15.032 (Child grooming), Penal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2000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